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7C" w:rsidRDefault="0059092A" w:rsidP="006045D8">
      <w:pPr>
        <w:pStyle w:val="Title"/>
        <w:jc w:val="center"/>
        <w:rPr>
          <w:lang w:val="en-US"/>
        </w:rPr>
      </w:pPr>
      <w:r>
        <w:rPr>
          <w:lang w:val="en-US"/>
        </w:rPr>
        <w:t>EU ETS and t</w:t>
      </w:r>
      <w:r w:rsidR="004F781A">
        <w:rPr>
          <w:lang w:val="en-US"/>
        </w:rPr>
        <w:t xml:space="preserve">he </w:t>
      </w:r>
      <w:r w:rsidR="008650E0">
        <w:rPr>
          <w:lang w:val="en-US"/>
        </w:rPr>
        <w:t>waterbed effect</w:t>
      </w:r>
    </w:p>
    <w:p w:rsidR="009A617C" w:rsidRDefault="009A617C" w:rsidP="006045D8">
      <w:pPr>
        <w:pStyle w:val="Heading3"/>
        <w:rPr>
          <w:lang w:val="en-US"/>
        </w:rPr>
      </w:pPr>
    </w:p>
    <w:p w:rsidR="009A617C" w:rsidRDefault="009A617C" w:rsidP="006045D8">
      <w:pPr>
        <w:pStyle w:val="Heading3"/>
        <w:jc w:val="center"/>
        <w:rPr>
          <w:rStyle w:val="Strong"/>
          <w:b w:val="0"/>
          <w:lang w:val="en-US"/>
        </w:rPr>
      </w:pPr>
      <w:r w:rsidRPr="006045D8">
        <w:rPr>
          <w:lang w:val="en-US"/>
        </w:rPr>
        <w:t xml:space="preserve">Knut Einar </w:t>
      </w:r>
      <w:r w:rsidRPr="001D1BFA">
        <w:rPr>
          <w:rStyle w:val="Strong"/>
          <w:b w:val="0"/>
          <w:lang w:val="en-US"/>
        </w:rPr>
        <w:t>Rosendahl</w:t>
      </w:r>
      <w:r w:rsidR="000E4CF6">
        <w:rPr>
          <w:rStyle w:val="Strong"/>
          <w:b w:val="0"/>
          <w:lang w:val="en-US"/>
        </w:rPr>
        <w:t>, Norwegian University of Life Science</w:t>
      </w:r>
    </w:p>
    <w:p w:rsidR="009A617C" w:rsidRDefault="009A617C" w:rsidP="001757DE">
      <w:pPr>
        <w:rPr>
          <w:lang w:val="en-US"/>
        </w:rPr>
      </w:pPr>
    </w:p>
    <w:p w:rsidR="00F20B57" w:rsidRDefault="00552930" w:rsidP="00357817">
      <w:pPr>
        <w:rPr>
          <w:lang w:val="en-US"/>
        </w:rPr>
      </w:pPr>
      <w:r>
        <w:rPr>
          <w:lang w:val="en-US"/>
        </w:rPr>
        <w:t xml:space="preserve">Due to </w:t>
      </w:r>
      <w:r w:rsidR="009A617C">
        <w:rPr>
          <w:lang w:val="en-US"/>
        </w:rPr>
        <w:t xml:space="preserve">the new rules of the EU </w:t>
      </w:r>
      <w:r w:rsidR="00643727">
        <w:rPr>
          <w:lang w:val="en-US"/>
        </w:rPr>
        <w:t>Emission Trading System (</w:t>
      </w:r>
      <w:r w:rsidR="009A617C">
        <w:rPr>
          <w:lang w:val="en-US"/>
        </w:rPr>
        <w:t>ETS</w:t>
      </w:r>
      <w:r w:rsidR="00643727">
        <w:rPr>
          <w:lang w:val="en-US"/>
        </w:rPr>
        <w:t>)</w:t>
      </w:r>
      <w:r w:rsidR="009A617C">
        <w:rPr>
          <w:lang w:val="en-US"/>
        </w:rPr>
        <w:t>, Perino (2018)</w:t>
      </w:r>
      <w:r w:rsidR="004A34C0" w:rsidRPr="004A34C0">
        <w:rPr>
          <w:vertAlign w:val="superscript"/>
          <w:lang w:val="en-US"/>
        </w:rPr>
        <w:t>1</w:t>
      </w:r>
      <w:r w:rsidR="009A617C">
        <w:rPr>
          <w:lang w:val="en-US"/>
        </w:rPr>
        <w:t xml:space="preserve"> </w:t>
      </w:r>
      <w:r w:rsidR="008650E0">
        <w:rPr>
          <w:lang w:val="en-US"/>
        </w:rPr>
        <w:t xml:space="preserve">argues that the so-called waterbed effect is temporarily punctured. That is, </w:t>
      </w:r>
      <w:r w:rsidR="009A617C">
        <w:rPr>
          <w:lang w:val="en-US"/>
        </w:rPr>
        <w:t>additional abatement effort</w:t>
      </w:r>
      <w:r w:rsidR="008650E0">
        <w:rPr>
          <w:lang w:val="en-US"/>
        </w:rPr>
        <w:t>s</w:t>
      </w:r>
      <w:r w:rsidR="009A617C">
        <w:rPr>
          <w:lang w:val="en-US"/>
        </w:rPr>
        <w:t xml:space="preserve"> can reduce cumulative emissions</w:t>
      </w:r>
      <w:r w:rsidR="009C11E1">
        <w:rPr>
          <w:lang w:val="en-US"/>
        </w:rPr>
        <w:t xml:space="preserve"> –</w:t>
      </w:r>
      <w:r w:rsidR="008650E0">
        <w:rPr>
          <w:lang w:val="en-US"/>
        </w:rPr>
        <w:t xml:space="preserve"> </w:t>
      </w:r>
      <w:r w:rsidR="009A617C">
        <w:rPr>
          <w:lang w:val="en-US"/>
        </w:rPr>
        <w:t>if</w:t>
      </w:r>
      <w:r w:rsidR="009C11E1">
        <w:rPr>
          <w:lang w:val="en-US"/>
        </w:rPr>
        <w:t xml:space="preserve"> </w:t>
      </w:r>
      <w:r w:rsidR="008650E0">
        <w:rPr>
          <w:lang w:val="en-US"/>
        </w:rPr>
        <w:t>they</w:t>
      </w:r>
      <w:r w:rsidR="009A617C">
        <w:rPr>
          <w:lang w:val="en-US"/>
        </w:rPr>
        <w:t xml:space="preserve"> occur within a few years. </w:t>
      </w:r>
      <w:r w:rsidR="008650E0">
        <w:rPr>
          <w:lang w:val="en-US"/>
        </w:rPr>
        <w:t xml:space="preserve">However, two critical perspectives are </w:t>
      </w:r>
      <w:r w:rsidR="0002231B">
        <w:rPr>
          <w:lang w:val="en-US"/>
        </w:rPr>
        <w:t xml:space="preserve">lacking </w:t>
      </w:r>
      <w:r w:rsidR="008650E0">
        <w:rPr>
          <w:lang w:val="en-US"/>
        </w:rPr>
        <w:t xml:space="preserve">from </w:t>
      </w:r>
      <w:r w:rsidR="00357817" w:rsidRPr="00357817">
        <w:rPr>
          <w:lang w:val="en-US"/>
        </w:rPr>
        <w:t>Perino</w:t>
      </w:r>
      <w:r w:rsidR="008650E0">
        <w:rPr>
          <w:lang w:val="en-US"/>
        </w:rPr>
        <w:t>’s argument. First, if the abatement effort</w:t>
      </w:r>
      <w:r w:rsidR="00F20B57">
        <w:rPr>
          <w:lang w:val="en-US"/>
        </w:rPr>
        <w:t>s</w:t>
      </w:r>
      <w:r w:rsidR="008650E0">
        <w:rPr>
          <w:lang w:val="en-US"/>
        </w:rPr>
        <w:t xml:space="preserve"> </w:t>
      </w:r>
      <w:r w:rsidR="00F20B57">
        <w:rPr>
          <w:lang w:val="en-US"/>
        </w:rPr>
        <w:t>are</w:t>
      </w:r>
      <w:r w:rsidR="008650E0">
        <w:rPr>
          <w:lang w:val="en-US"/>
        </w:rPr>
        <w:t xml:space="preserve"> permanent rather than temporary</w:t>
      </w:r>
      <w:r w:rsidR="00F20B57">
        <w:rPr>
          <w:lang w:val="en-US"/>
        </w:rPr>
        <w:t>,</w:t>
      </w:r>
      <w:r w:rsidR="008650E0">
        <w:rPr>
          <w:lang w:val="en-US"/>
        </w:rPr>
        <w:t xml:space="preserve"> </w:t>
      </w:r>
      <w:r w:rsidR="00F20B57">
        <w:rPr>
          <w:lang w:val="en-US"/>
        </w:rPr>
        <w:t xml:space="preserve">the waterbed effect is </w:t>
      </w:r>
      <w:r w:rsidR="0002231B">
        <w:rPr>
          <w:lang w:val="en-US"/>
        </w:rPr>
        <w:t xml:space="preserve">likely </w:t>
      </w:r>
      <w:r w:rsidR="00F20B57">
        <w:rPr>
          <w:lang w:val="en-US"/>
        </w:rPr>
        <w:t>restored. Second, if abatement efforts take place later rather than sooner, cumulative emissions will increase rather than decrease.</w:t>
      </w:r>
    </w:p>
    <w:p w:rsidR="00643727" w:rsidRDefault="00643727">
      <w:pPr>
        <w:rPr>
          <w:lang w:val="en-US"/>
        </w:rPr>
      </w:pPr>
      <w:r>
        <w:rPr>
          <w:lang w:val="en-US"/>
        </w:rPr>
        <w:t>As a response to low allowance prices and a huge surplus of allowances in the EU ETS,</w:t>
      </w:r>
      <w:r w:rsidR="00724B88" w:rsidRPr="00724B88">
        <w:rPr>
          <w:vertAlign w:val="superscript"/>
          <w:lang w:val="en-US"/>
        </w:rPr>
        <w:t>2</w:t>
      </w:r>
      <w:r w:rsidR="00724B88">
        <w:rPr>
          <w:vertAlign w:val="superscript"/>
          <w:lang w:val="en-US"/>
        </w:rPr>
        <w:t>-3</w:t>
      </w:r>
      <w:r>
        <w:rPr>
          <w:lang w:val="en-US"/>
        </w:rPr>
        <w:t xml:space="preserve"> the EU introduced a Market Stability Reserve (MSR) in 2015.</w:t>
      </w:r>
      <w:r w:rsidR="00724B88">
        <w:rPr>
          <w:vertAlign w:val="superscript"/>
          <w:lang w:val="en-US"/>
        </w:rPr>
        <w:t>3-4</w:t>
      </w:r>
      <w:r>
        <w:rPr>
          <w:lang w:val="en-US"/>
        </w:rPr>
        <w:t xml:space="preserve"> When the total number of banked allowances is sufficiently large, parts of next year’s allowances are put into the reserve instead of being auctioned</w:t>
      </w:r>
      <w:r w:rsidR="009C11E1">
        <w:rPr>
          <w:lang w:val="en-US"/>
        </w:rPr>
        <w:t>, reducing the short-term supply of allowances</w:t>
      </w:r>
      <w:r>
        <w:rPr>
          <w:lang w:val="en-US"/>
        </w:rPr>
        <w:t>.</w:t>
      </w:r>
      <w:r w:rsidRPr="00643727">
        <w:rPr>
          <w:lang w:val="en-US"/>
        </w:rPr>
        <w:t xml:space="preserve"> </w:t>
      </w:r>
      <w:r>
        <w:rPr>
          <w:lang w:val="en-US"/>
        </w:rPr>
        <w:t xml:space="preserve">In 2018, the MSR rules were revised, now stating that when the MSR exceeds a certain threshold, the allowances exceeding the threshold become permanently canceled. Hence, the </w:t>
      </w:r>
      <w:r w:rsidRPr="00643727">
        <w:rPr>
          <w:lang w:val="en-US"/>
        </w:rPr>
        <w:t>long-term</w:t>
      </w:r>
      <w:r>
        <w:rPr>
          <w:lang w:val="en-US"/>
        </w:rPr>
        <w:t xml:space="preserve"> supply of allowances is </w:t>
      </w:r>
      <w:r w:rsidR="009C11E1">
        <w:rPr>
          <w:lang w:val="en-US"/>
        </w:rPr>
        <w:t>reduced too</w:t>
      </w:r>
      <w:r>
        <w:rPr>
          <w:lang w:val="en-US"/>
        </w:rPr>
        <w:t>.</w:t>
      </w:r>
    </w:p>
    <w:p w:rsidR="009A617C" w:rsidRDefault="00BD70B5" w:rsidP="0004172E">
      <w:pPr>
        <w:rPr>
          <w:lang w:val="en-US"/>
        </w:rPr>
      </w:pPr>
      <w:r>
        <w:rPr>
          <w:lang w:val="en-US"/>
        </w:rPr>
        <w:t>Perino</w:t>
      </w:r>
      <w:r w:rsidRPr="004A34C0">
        <w:rPr>
          <w:vertAlign w:val="superscript"/>
          <w:lang w:val="en-US"/>
        </w:rPr>
        <w:t>1</w:t>
      </w:r>
      <w:r w:rsidR="009A617C">
        <w:rPr>
          <w:lang w:val="en-US"/>
        </w:rPr>
        <w:t xml:space="preserve"> </w:t>
      </w:r>
      <w:r w:rsidR="00CE63AD">
        <w:rPr>
          <w:lang w:val="en-US"/>
        </w:rPr>
        <w:t xml:space="preserve">argues that </w:t>
      </w:r>
      <w:r w:rsidR="009A617C">
        <w:rPr>
          <w:lang w:val="en-US"/>
        </w:rPr>
        <w:t xml:space="preserve">this new MSR rule temporarily punctures the waterbed effect of the ETS. The waterbed effect denotes the phenomenon that if </w:t>
      </w:r>
      <w:r w:rsidR="009C11E1">
        <w:rPr>
          <w:lang w:val="en-US"/>
        </w:rPr>
        <w:t xml:space="preserve">additional abatement efforts are </w:t>
      </w:r>
      <w:r w:rsidR="0002231B">
        <w:rPr>
          <w:lang w:val="en-US"/>
        </w:rPr>
        <w:t>implemented</w:t>
      </w:r>
      <w:r w:rsidR="009C11E1">
        <w:rPr>
          <w:lang w:val="en-US"/>
        </w:rPr>
        <w:t xml:space="preserve">, </w:t>
      </w:r>
      <w:r w:rsidR="00724B88">
        <w:rPr>
          <w:lang w:val="en-US"/>
        </w:rPr>
        <w:t>e.g., due to some supplementary climate policy,</w:t>
      </w:r>
      <w:r w:rsidR="00724B88" w:rsidRPr="00724B88">
        <w:rPr>
          <w:vertAlign w:val="superscript"/>
          <w:lang w:val="en-US"/>
        </w:rPr>
        <w:t>5</w:t>
      </w:r>
      <w:r w:rsidR="00724B88">
        <w:rPr>
          <w:lang w:val="en-US"/>
        </w:rPr>
        <w:t xml:space="preserve"> </w:t>
      </w:r>
      <w:r w:rsidR="009A617C">
        <w:rPr>
          <w:lang w:val="en-US"/>
        </w:rPr>
        <w:t xml:space="preserve">total emissions will not change because the </w:t>
      </w:r>
      <w:r w:rsidR="009C11E1">
        <w:rPr>
          <w:lang w:val="en-US"/>
        </w:rPr>
        <w:t xml:space="preserve">overall </w:t>
      </w:r>
      <w:r w:rsidR="009A617C">
        <w:rPr>
          <w:lang w:val="en-US"/>
        </w:rPr>
        <w:t>emission cap is fixed.</w:t>
      </w:r>
      <w:r w:rsidR="00724B88">
        <w:rPr>
          <w:vertAlign w:val="superscript"/>
          <w:lang w:val="en-US"/>
        </w:rPr>
        <w:t>6</w:t>
      </w:r>
      <w:r w:rsidR="009A617C">
        <w:rPr>
          <w:lang w:val="en-US"/>
        </w:rPr>
        <w:t xml:space="preserve"> </w:t>
      </w:r>
      <w:r w:rsidR="009C11E1">
        <w:rPr>
          <w:lang w:val="en-US"/>
        </w:rPr>
        <w:t>Instead, emissions from other sources will increase</w:t>
      </w:r>
      <w:r w:rsidR="00277033">
        <w:rPr>
          <w:lang w:val="en-US"/>
        </w:rPr>
        <w:t xml:space="preserve"> correspondingly</w:t>
      </w:r>
      <w:r w:rsidR="00552930">
        <w:rPr>
          <w:lang w:val="en-US"/>
        </w:rPr>
        <w:t>, e.g., in a future year</w:t>
      </w:r>
      <w:r w:rsidR="009C11E1">
        <w:rPr>
          <w:lang w:val="en-US"/>
        </w:rPr>
        <w:t xml:space="preserve">. </w:t>
      </w:r>
      <w:r w:rsidR="00277033">
        <w:rPr>
          <w:lang w:val="en-US"/>
        </w:rPr>
        <w:t xml:space="preserve">With the waterbed punctured, </w:t>
      </w:r>
      <w:r w:rsidR="009A617C">
        <w:rPr>
          <w:lang w:val="en-US"/>
        </w:rPr>
        <w:t>Perino calculates</w:t>
      </w:r>
      <w:r w:rsidR="002B76D1">
        <w:rPr>
          <w:lang w:val="en-US"/>
        </w:rPr>
        <w:t xml:space="preserve"> </w:t>
      </w:r>
      <w:r w:rsidR="009A617C">
        <w:rPr>
          <w:lang w:val="en-US"/>
        </w:rPr>
        <w:t xml:space="preserve">that one ton of additional abatement within the EU ETS in 2018 will lead to a net long-term </w:t>
      </w:r>
      <w:r w:rsidR="00FD02D1">
        <w:rPr>
          <w:lang w:val="en-US"/>
        </w:rPr>
        <w:t>emission</w:t>
      </w:r>
      <w:r w:rsidR="002B76D1">
        <w:rPr>
          <w:lang w:val="en-US"/>
        </w:rPr>
        <w:t xml:space="preserve"> </w:t>
      </w:r>
      <w:r w:rsidR="009A617C">
        <w:rPr>
          <w:lang w:val="en-US"/>
        </w:rPr>
        <w:t xml:space="preserve">reduction of </w:t>
      </w:r>
      <w:r w:rsidR="004A34C0">
        <w:rPr>
          <w:lang w:val="en-US"/>
        </w:rPr>
        <w:t>0.4-</w:t>
      </w:r>
      <w:r w:rsidR="009A617C">
        <w:rPr>
          <w:lang w:val="en-US"/>
        </w:rPr>
        <w:t xml:space="preserve">0.8 tons. The intuition is that lower </w:t>
      </w:r>
      <w:r w:rsidR="002B76D1">
        <w:rPr>
          <w:lang w:val="en-US"/>
        </w:rPr>
        <w:t xml:space="preserve">current </w:t>
      </w:r>
      <w:r w:rsidR="009A617C">
        <w:rPr>
          <w:lang w:val="en-US"/>
        </w:rPr>
        <w:t>emissions impl</w:t>
      </w:r>
      <w:r w:rsidR="00B23002">
        <w:rPr>
          <w:lang w:val="en-US"/>
        </w:rPr>
        <w:t>y</w:t>
      </w:r>
      <w:r w:rsidR="009A617C">
        <w:rPr>
          <w:lang w:val="en-US"/>
        </w:rPr>
        <w:t xml:space="preserve"> more banking and </w:t>
      </w:r>
      <w:r w:rsidR="002B76D1">
        <w:rPr>
          <w:lang w:val="en-US"/>
        </w:rPr>
        <w:t xml:space="preserve">therefore </w:t>
      </w:r>
      <w:r w:rsidR="009A617C">
        <w:rPr>
          <w:lang w:val="en-US"/>
        </w:rPr>
        <w:t>increased input of allowances into the MSR, and subsequently increased cancellation of allowances.</w:t>
      </w:r>
      <w:r w:rsidR="00F03FAA">
        <w:rPr>
          <w:lang w:val="en-US"/>
        </w:rPr>
        <w:t xml:space="preserve"> The puncture of the waterbed is only temporary though, ending when the MSR no longer takes in allowances.</w:t>
      </w:r>
    </w:p>
    <w:p w:rsidR="00006D95" w:rsidRDefault="00ED601E" w:rsidP="0002231B">
      <w:pPr>
        <w:rPr>
          <w:lang w:val="en-US"/>
        </w:rPr>
      </w:pPr>
      <w:r>
        <w:rPr>
          <w:lang w:val="en-US"/>
        </w:rPr>
        <w:t>Perino’s finding is interesting but incomplete. First of all, abatement efforts are typically long-term rather than short-term</w:t>
      </w:r>
      <w:r w:rsidR="00B178B9">
        <w:rPr>
          <w:lang w:val="en-US"/>
        </w:rPr>
        <w:t>, such as new regulations or additional investments. Hence, additional abatement efforts today will in many cases reduce the demand for allowances both today and in the future. This is not accounted for in Perino’s article. Second, many abatement efforts are announced today, but will take effect in the future. Again, this is not dealt with in Perino’s article.</w:t>
      </w:r>
      <w:r w:rsidR="00006D95">
        <w:rPr>
          <w:lang w:val="en-US"/>
        </w:rPr>
        <w:t xml:space="preserve"> As I explain below, Perino’s finding can be eliminated or reversed in these cases.</w:t>
      </w:r>
    </w:p>
    <w:p w:rsidR="00006D95" w:rsidRDefault="00B178B9" w:rsidP="00D67AD7">
      <w:pPr>
        <w:rPr>
          <w:lang w:val="en-US"/>
        </w:rPr>
      </w:pPr>
      <w:r>
        <w:rPr>
          <w:lang w:val="en-US"/>
        </w:rPr>
        <w:t>Starting with the la</w:t>
      </w:r>
      <w:r w:rsidR="00552930">
        <w:rPr>
          <w:lang w:val="en-US"/>
        </w:rPr>
        <w:t>t</w:t>
      </w:r>
      <w:r>
        <w:rPr>
          <w:lang w:val="en-US"/>
        </w:rPr>
        <w:t>t</w:t>
      </w:r>
      <w:r w:rsidR="00552930">
        <w:rPr>
          <w:lang w:val="en-US"/>
        </w:rPr>
        <w:t>er</w:t>
      </w:r>
      <w:r>
        <w:rPr>
          <w:lang w:val="en-US"/>
        </w:rPr>
        <w:t xml:space="preserve"> case, consider a situation where </w:t>
      </w:r>
      <w:r w:rsidR="00006D95">
        <w:rPr>
          <w:lang w:val="en-US"/>
        </w:rPr>
        <w:t>it is announced or expected today that some additional abatement efforts will be imposed in one or more future years – after the MSR has stopped taking in allowances. This will reduce the demand for allowances in those years, leading to lower</w:t>
      </w:r>
      <w:r w:rsidR="0002231B">
        <w:rPr>
          <w:lang w:val="en-US"/>
        </w:rPr>
        <w:t xml:space="preserve"> future</w:t>
      </w:r>
      <w:r w:rsidR="00006D95">
        <w:rPr>
          <w:lang w:val="en-US"/>
        </w:rPr>
        <w:t xml:space="preserve"> prices of allowances. When market participants anticipate this, banking of allowances becomes less profitable than before.</w:t>
      </w:r>
      <w:r w:rsidR="00006D95" w:rsidRPr="00006D95">
        <w:rPr>
          <w:lang w:val="en-US"/>
        </w:rPr>
        <w:t xml:space="preserve"> </w:t>
      </w:r>
      <w:r w:rsidR="00006D95">
        <w:rPr>
          <w:lang w:val="en-US"/>
        </w:rPr>
        <w:t xml:space="preserve">Less banking implies fewer allowances enter into the MSR, and hence fewer allowances </w:t>
      </w:r>
      <w:r w:rsidR="00FF383B">
        <w:rPr>
          <w:lang w:val="en-US"/>
        </w:rPr>
        <w:t>become</w:t>
      </w:r>
      <w:r w:rsidR="00006D95">
        <w:rPr>
          <w:lang w:val="en-US"/>
        </w:rPr>
        <w:t xml:space="preserve"> canceled.</w:t>
      </w:r>
      <w:r w:rsidR="009935DE">
        <w:rPr>
          <w:lang w:val="en-US"/>
        </w:rPr>
        <w:t xml:space="preserve"> In other words, cumulative emissions will increase rather than decrease, and the abatement effort can have counterproductive effect.  </w:t>
      </w:r>
    </w:p>
    <w:p w:rsidR="00FF383B" w:rsidRPr="00A54A6A" w:rsidRDefault="00FF383B" w:rsidP="00587C0B">
      <w:pPr>
        <w:rPr>
          <w:lang w:val="en-US"/>
        </w:rPr>
      </w:pPr>
      <w:r>
        <w:rPr>
          <w:lang w:val="en-US"/>
        </w:rPr>
        <w:t>As an example, when the German coal commission delivered its final recommendations in late January 2019, the allowance price “</w:t>
      </w:r>
      <w:r w:rsidRPr="00A54A6A">
        <w:rPr>
          <w:lang w:val="en-US"/>
        </w:rPr>
        <w:t xml:space="preserve">tumbled by more than a euro </w:t>
      </w:r>
      <w:r>
        <w:rPr>
          <w:lang w:val="en-US"/>
        </w:rPr>
        <w:t xml:space="preserve">… </w:t>
      </w:r>
      <w:r w:rsidRPr="00A54A6A">
        <w:rPr>
          <w:lang w:val="en-US"/>
        </w:rPr>
        <w:t>amid speculation that Germany’s coal phaseout deal would prompt big-emitting utilities to unwind generation hedges</w:t>
      </w:r>
      <w:r>
        <w:rPr>
          <w:lang w:val="en-US"/>
        </w:rPr>
        <w:t>”</w:t>
      </w:r>
      <w:r w:rsidRPr="00A54A6A">
        <w:rPr>
          <w:lang w:val="en-US"/>
        </w:rPr>
        <w:t>.</w:t>
      </w:r>
      <w:r w:rsidR="00724B88">
        <w:rPr>
          <w:vertAlign w:val="superscript"/>
          <w:lang w:val="en-US"/>
        </w:rPr>
        <w:t>7</w:t>
      </w:r>
      <w:r>
        <w:rPr>
          <w:lang w:val="en-US"/>
        </w:rPr>
        <w:t xml:space="preserve"> The main impacts of the German coal phaseout are expected to occur after 2030.</w:t>
      </w:r>
      <w:r w:rsidR="00724B88">
        <w:rPr>
          <w:vertAlign w:val="superscript"/>
          <w:lang w:val="en-US"/>
        </w:rPr>
        <w:t>8</w:t>
      </w:r>
      <w:r>
        <w:rPr>
          <w:lang w:val="en-US"/>
        </w:rPr>
        <w:t xml:space="preserve"> Following the </w:t>
      </w:r>
      <w:r w:rsidR="00587C0B">
        <w:rPr>
          <w:lang w:val="en-US"/>
        </w:rPr>
        <w:t>reasoning</w:t>
      </w:r>
      <w:r>
        <w:rPr>
          <w:lang w:val="en-US"/>
        </w:rPr>
        <w:t xml:space="preserve"> above, the policy measure may </w:t>
      </w:r>
      <w:r w:rsidRPr="00043BD0">
        <w:rPr>
          <w:i/>
          <w:lang w:val="en-US"/>
        </w:rPr>
        <w:t>increase</w:t>
      </w:r>
      <w:r>
        <w:rPr>
          <w:lang w:val="en-US"/>
        </w:rPr>
        <w:t xml:space="preserve"> rather than decrease cumulative emissions regulated by the </w:t>
      </w:r>
      <w:r>
        <w:rPr>
          <w:lang w:val="en-US"/>
        </w:rPr>
        <w:lastRenderedPageBreak/>
        <w:t>EU ETS</w:t>
      </w:r>
      <w:r w:rsidR="00587C0B">
        <w:rPr>
          <w:lang w:val="en-US"/>
        </w:rPr>
        <w:t>. That is,</w:t>
      </w:r>
      <w:r>
        <w:rPr>
          <w:lang w:val="en-US"/>
        </w:rPr>
        <w:t xml:space="preserve"> unless </w:t>
      </w:r>
      <w:r w:rsidR="00587C0B">
        <w:rPr>
          <w:lang w:val="en-US"/>
        </w:rPr>
        <w:t xml:space="preserve">the coal phaseout </w:t>
      </w:r>
      <w:r>
        <w:rPr>
          <w:lang w:val="en-US"/>
        </w:rPr>
        <w:t>is followed up with cancellation of allowances, which the coal commission also proposes.</w:t>
      </w:r>
      <w:r w:rsidR="00724B88">
        <w:rPr>
          <w:vertAlign w:val="superscript"/>
          <w:lang w:val="en-US"/>
        </w:rPr>
        <w:t>9</w:t>
      </w:r>
      <w:r>
        <w:rPr>
          <w:lang w:val="en-US"/>
        </w:rPr>
        <w:t xml:space="preserve"> </w:t>
      </w:r>
    </w:p>
    <w:p w:rsidR="002F07F1" w:rsidRDefault="009935DE" w:rsidP="00742A52">
      <w:pPr>
        <w:rPr>
          <w:lang w:val="en-US"/>
        </w:rPr>
      </w:pPr>
      <w:r>
        <w:rPr>
          <w:lang w:val="en-US"/>
        </w:rPr>
        <w:t xml:space="preserve">If </w:t>
      </w:r>
      <w:r w:rsidR="00587C0B">
        <w:rPr>
          <w:lang w:val="en-US"/>
        </w:rPr>
        <w:t xml:space="preserve">an </w:t>
      </w:r>
      <w:r>
        <w:rPr>
          <w:lang w:val="en-US"/>
        </w:rPr>
        <w:t xml:space="preserve">abatement effort takes place immediately, but is </w:t>
      </w:r>
      <w:r w:rsidR="00552930">
        <w:rPr>
          <w:lang w:val="en-US"/>
        </w:rPr>
        <w:t>permanent</w:t>
      </w:r>
      <w:r w:rsidR="00587C0B">
        <w:rPr>
          <w:lang w:val="en-US"/>
        </w:rPr>
        <w:t xml:space="preserve"> rather than temporary</w:t>
      </w:r>
      <w:r>
        <w:rPr>
          <w:lang w:val="en-US"/>
        </w:rPr>
        <w:t xml:space="preserve">, </w:t>
      </w:r>
      <w:r w:rsidR="00742A52">
        <w:rPr>
          <w:lang w:val="en-US"/>
        </w:rPr>
        <w:t>demand for allowances will decline both before and after the MSR stops taking in allowances. Hence, both the mechanism pointed to by Perino, and the one pointed to in the previous paragraph</w:t>
      </w:r>
      <w:r w:rsidR="00587C0B">
        <w:rPr>
          <w:lang w:val="en-US"/>
        </w:rPr>
        <w:t>s</w:t>
      </w:r>
      <w:r w:rsidR="00742A52">
        <w:rPr>
          <w:lang w:val="en-US"/>
        </w:rPr>
        <w:t>, will be in effect. The net effect on cumulative emissions is thus ambiguous</w:t>
      </w:r>
      <w:r w:rsidR="002F07F1">
        <w:rPr>
          <w:lang w:val="en-US"/>
        </w:rPr>
        <w:t xml:space="preserve">. However, </w:t>
      </w:r>
      <w:r w:rsidR="00753472">
        <w:rPr>
          <w:lang w:val="en-US"/>
        </w:rPr>
        <w:t>as demand for allowances are expected to drop not only today but in all future years, the incentives to bank allowances are not much changed, implying that cumulative emissions are also little affected.</w:t>
      </w:r>
    </w:p>
    <w:p w:rsidR="002E5296" w:rsidRDefault="002E5296" w:rsidP="00742A52">
      <w:pPr>
        <w:rPr>
          <w:lang w:val="en-US"/>
        </w:rPr>
      </w:pPr>
      <w:r>
        <w:rPr>
          <w:lang w:val="en-US"/>
        </w:rPr>
        <w:t>How important is the effect pointed to in this comment? That remains to determine, and merits further investigation and quantification. My own (</w:t>
      </w:r>
      <w:r w:rsidR="00C53ED5">
        <w:rPr>
          <w:lang w:val="en-US"/>
        </w:rPr>
        <w:t>not yet peer reviewed</w:t>
      </w:r>
      <w:r>
        <w:rPr>
          <w:lang w:val="en-US"/>
        </w:rPr>
        <w:t>) research indicates that the effects might be quite substantial.</w:t>
      </w:r>
      <w:r>
        <w:rPr>
          <w:vertAlign w:val="superscript"/>
          <w:lang w:val="en-US"/>
        </w:rPr>
        <w:t>10</w:t>
      </w:r>
      <w:r>
        <w:rPr>
          <w:lang w:val="en-US"/>
        </w:rPr>
        <w:t xml:space="preserve"> </w:t>
      </w:r>
    </w:p>
    <w:p w:rsidR="009C5025" w:rsidRDefault="00587C0B" w:rsidP="00587C0B">
      <w:pPr>
        <w:rPr>
          <w:lang w:val="en-US"/>
        </w:rPr>
      </w:pPr>
      <w:r>
        <w:rPr>
          <w:lang w:val="en-US"/>
        </w:rPr>
        <w:t xml:space="preserve">Whereas Perino’s conclusion </w:t>
      </w:r>
      <w:r w:rsidR="00552930">
        <w:rPr>
          <w:lang w:val="en-US"/>
        </w:rPr>
        <w:t>i</w:t>
      </w:r>
      <w:r>
        <w:rPr>
          <w:lang w:val="en-US"/>
        </w:rPr>
        <w:t xml:space="preserve">s quite optimistic when it comes to the effects of supplementary climate policies, my message is more </w:t>
      </w:r>
      <w:r w:rsidR="009C5025">
        <w:rPr>
          <w:lang w:val="en-US"/>
        </w:rPr>
        <w:t>detrimental</w:t>
      </w:r>
      <w:r>
        <w:rPr>
          <w:lang w:val="en-US"/>
        </w:rPr>
        <w:t>.</w:t>
      </w:r>
      <w:r w:rsidR="00F148EC">
        <w:rPr>
          <w:lang w:val="en-US"/>
        </w:rPr>
        <w:t xml:space="preserve"> </w:t>
      </w:r>
      <w:r w:rsidR="00DD26D5">
        <w:rPr>
          <w:lang w:val="en-US"/>
        </w:rPr>
        <w:t xml:space="preserve">Continued efforts to strengthen the cap on emissions thus seems to be a more productive approach. </w:t>
      </w:r>
      <w:r w:rsidR="00F148EC">
        <w:rPr>
          <w:lang w:val="en-US"/>
        </w:rPr>
        <w:t xml:space="preserve">At the same time, supplementary </w:t>
      </w:r>
      <w:r w:rsidR="005A45DA">
        <w:rPr>
          <w:lang w:val="en-US"/>
        </w:rPr>
        <w:t xml:space="preserve">policies </w:t>
      </w:r>
      <w:r w:rsidR="00F148EC">
        <w:rPr>
          <w:lang w:val="en-US"/>
        </w:rPr>
        <w:t xml:space="preserve">that lead to lower ETS prices </w:t>
      </w:r>
      <w:r w:rsidR="00552930">
        <w:rPr>
          <w:lang w:val="en-US"/>
        </w:rPr>
        <w:t xml:space="preserve">might </w:t>
      </w:r>
      <w:r w:rsidR="00F148EC">
        <w:rPr>
          <w:lang w:val="en-US"/>
        </w:rPr>
        <w:t xml:space="preserve">make it politically easier to strengthen the cap in the future. If so, the case for supplementary </w:t>
      </w:r>
      <w:r w:rsidR="005A45DA">
        <w:rPr>
          <w:lang w:val="en-US"/>
        </w:rPr>
        <w:t xml:space="preserve">policies </w:t>
      </w:r>
      <w:r w:rsidR="00F148EC">
        <w:rPr>
          <w:lang w:val="en-US"/>
        </w:rPr>
        <w:t>is more ambiguous.</w:t>
      </w:r>
      <w:r w:rsidR="008D2D7F">
        <w:rPr>
          <w:lang w:val="en-US"/>
        </w:rPr>
        <w:t xml:space="preserve"> In any case, announcing supplementary </w:t>
      </w:r>
      <w:r w:rsidR="005A45DA">
        <w:rPr>
          <w:lang w:val="en-US"/>
        </w:rPr>
        <w:t xml:space="preserve">policies </w:t>
      </w:r>
      <w:r w:rsidR="008D2D7F">
        <w:rPr>
          <w:lang w:val="en-US"/>
        </w:rPr>
        <w:t xml:space="preserve">that are not followed up in due course will be particularly detrimental. </w:t>
      </w:r>
    </w:p>
    <w:p w:rsidR="00DD26D5" w:rsidRDefault="00436389" w:rsidP="00436389">
      <w:pPr>
        <w:rPr>
          <w:lang w:val="en-US"/>
        </w:rPr>
      </w:pPr>
      <w:r w:rsidRPr="00436389">
        <w:rPr>
          <w:lang w:val="en-US"/>
        </w:rPr>
        <w:t>Last, but not least, even though the new cancellation rule of the</w:t>
      </w:r>
      <w:r>
        <w:rPr>
          <w:lang w:val="en-US"/>
        </w:rPr>
        <w:t xml:space="preserve"> </w:t>
      </w:r>
      <w:r w:rsidRPr="00436389">
        <w:rPr>
          <w:lang w:val="en-US"/>
        </w:rPr>
        <w:t>EU ETS leads to some unintended effects</w:t>
      </w:r>
      <w:r>
        <w:rPr>
          <w:lang w:val="en-US"/>
        </w:rPr>
        <w:t>,</w:t>
      </w:r>
      <w:r w:rsidRPr="00436389">
        <w:rPr>
          <w:vertAlign w:val="superscript"/>
          <w:lang w:val="en-US"/>
        </w:rPr>
        <w:t>11</w:t>
      </w:r>
      <w:r w:rsidRPr="00436389">
        <w:rPr>
          <w:lang w:val="en-US"/>
        </w:rPr>
        <w:t xml:space="preserve"> this comment should</w:t>
      </w:r>
      <w:r>
        <w:rPr>
          <w:lang w:val="en-US"/>
        </w:rPr>
        <w:t xml:space="preserve"> </w:t>
      </w:r>
      <w:r w:rsidRPr="00436389">
        <w:rPr>
          <w:lang w:val="en-US"/>
        </w:rPr>
        <w:t>not be used to conclude that the new rule has been counterproductive.</w:t>
      </w:r>
      <w:bookmarkStart w:id="0" w:name="_GoBack"/>
      <w:bookmarkEnd w:id="0"/>
      <w:r w:rsidR="00DD26D5">
        <w:rPr>
          <w:lang w:val="en-US"/>
        </w:rPr>
        <w:t xml:space="preserve"> Quite the contrary, the cancel</w:t>
      </w:r>
      <w:r w:rsidR="00563519">
        <w:rPr>
          <w:lang w:val="en-US"/>
        </w:rPr>
        <w:t>l</w:t>
      </w:r>
      <w:r w:rsidR="00551C8A">
        <w:rPr>
          <w:lang w:val="en-US"/>
        </w:rPr>
        <w:t>ation rule</w:t>
      </w:r>
      <w:r w:rsidR="00DD26D5">
        <w:rPr>
          <w:lang w:val="en-US"/>
        </w:rPr>
        <w:t xml:space="preserve"> </w:t>
      </w:r>
      <w:r w:rsidR="00587C0B">
        <w:rPr>
          <w:lang w:val="en-US"/>
        </w:rPr>
        <w:t xml:space="preserve">is likely to </w:t>
      </w:r>
      <w:r w:rsidR="00DD26D5">
        <w:rPr>
          <w:lang w:val="en-US"/>
        </w:rPr>
        <w:t>reduc</w:t>
      </w:r>
      <w:r w:rsidR="001F6E03">
        <w:rPr>
          <w:lang w:val="en-US"/>
        </w:rPr>
        <w:t>e</w:t>
      </w:r>
      <w:r w:rsidR="00DD26D5">
        <w:rPr>
          <w:lang w:val="en-US"/>
        </w:rPr>
        <w:t xml:space="preserve"> </w:t>
      </w:r>
      <w:r w:rsidR="006C258D">
        <w:rPr>
          <w:lang w:val="en-US"/>
        </w:rPr>
        <w:t>cumulative</w:t>
      </w:r>
      <w:r w:rsidR="00DD26D5">
        <w:rPr>
          <w:lang w:val="en-US"/>
        </w:rPr>
        <w:t xml:space="preserve"> emissions </w:t>
      </w:r>
      <w:r w:rsidR="00587C0B">
        <w:rPr>
          <w:lang w:val="en-US"/>
        </w:rPr>
        <w:t xml:space="preserve">by several gigatons of </w:t>
      </w:r>
      <w:r w:rsidR="001159D1">
        <w:rPr>
          <w:lang w:val="en-US"/>
        </w:rPr>
        <w:t>CO</w:t>
      </w:r>
      <w:r w:rsidR="001159D1" w:rsidRPr="001159D1">
        <w:rPr>
          <w:vertAlign w:val="subscript"/>
          <w:lang w:val="en-US"/>
        </w:rPr>
        <w:t>2</w:t>
      </w:r>
      <w:r w:rsidR="00DD26D5">
        <w:rPr>
          <w:lang w:val="en-US"/>
        </w:rPr>
        <w:t>.</w:t>
      </w:r>
      <w:r w:rsidR="00724B88">
        <w:rPr>
          <w:vertAlign w:val="superscript"/>
          <w:lang w:val="en-US"/>
        </w:rPr>
        <w:t>1</w:t>
      </w:r>
      <w:r>
        <w:rPr>
          <w:vertAlign w:val="superscript"/>
          <w:lang w:val="en-US"/>
        </w:rPr>
        <w:t>2</w:t>
      </w:r>
    </w:p>
    <w:p w:rsidR="000E4CF6" w:rsidRDefault="000E4CF6" w:rsidP="000E4CF6">
      <w:pPr>
        <w:pStyle w:val="Heading1"/>
        <w:rPr>
          <w:lang w:val="en-US"/>
        </w:rPr>
      </w:pPr>
      <w:r>
        <w:rPr>
          <w:lang w:val="en-US"/>
        </w:rPr>
        <w:t>Acknowledgement</w:t>
      </w:r>
    </w:p>
    <w:p w:rsidR="000E4CF6" w:rsidRPr="000E4CF6" w:rsidRDefault="000E4CF6" w:rsidP="00F04681">
      <w:pPr>
        <w:rPr>
          <w:lang w:val="en-US"/>
        </w:rPr>
      </w:pPr>
      <w:r w:rsidRPr="000E4CF6">
        <w:rPr>
          <w:lang w:val="en-US"/>
        </w:rPr>
        <w:t>I am grateful for valuable comments from Reyer Gerlagh</w:t>
      </w:r>
      <w:r w:rsidR="002E5296">
        <w:rPr>
          <w:lang w:val="en-US"/>
        </w:rPr>
        <w:t>,</w:t>
      </w:r>
      <w:r w:rsidRPr="000E4CF6">
        <w:rPr>
          <w:lang w:val="en-US"/>
        </w:rPr>
        <w:t xml:space="preserve"> Yan Qin</w:t>
      </w:r>
      <w:r w:rsidR="002E5296">
        <w:rPr>
          <w:lang w:val="en-US"/>
        </w:rPr>
        <w:t xml:space="preserve"> as well as the handling editor and reviewers of this journal</w:t>
      </w:r>
      <w:r w:rsidRPr="000E4CF6">
        <w:rPr>
          <w:lang w:val="en-US"/>
        </w:rPr>
        <w:t>, and for financial support from the Research Council of Norway (</w:t>
      </w:r>
      <w:proofErr w:type="spellStart"/>
      <w:r w:rsidRPr="000E4CF6">
        <w:rPr>
          <w:lang w:val="en-US"/>
        </w:rPr>
        <w:t>Norens</w:t>
      </w:r>
      <w:proofErr w:type="spellEnd"/>
      <w:r w:rsidRPr="000E4CF6">
        <w:rPr>
          <w:lang w:val="en-US"/>
        </w:rPr>
        <w:t xml:space="preserve"> project).</w:t>
      </w:r>
    </w:p>
    <w:p w:rsidR="00250678" w:rsidRDefault="00250678" w:rsidP="00250678">
      <w:pPr>
        <w:pStyle w:val="Heading1"/>
        <w:rPr>
          <w:lang w:val="en-US"/>
        </w:rPr>
      </w:pPr>
      <w:r>
        <w:rPr>
          <w:lang w:val="en-US"/>
        </w:rPr>
        <w:t>References</w:t>
      </w:r>
    </w:p>
    <w:p w:rsidR="00CA0F7D" w:rsidRPr="00A87291" w:rsidRDefault="00CA0F7D" w:rsidP="00CA0F7D">
      <w:pPr>
        <w:rPr>
          <w:lang w:val="en-US"/>
        </w:rPr>
      </w:pPr>
      <w:r w:rsidRPr="00A87291">
        <w:rPr>
          <w:vertAlign w:val="superscript"/>
          <w:lang w:val="en-US"/>
        </w:rPr>
        <w:t xml:space="preserve">1 </w:t>
      </w:r>
      <w:r>
        <w:rPr>
          <w:lang w:val="en-US"/>
        </w:rPr>
        <w:t xml:space="preserve">Perino, G. (2018): </w:t>
      </w:r>
      <w:r w:rsidRPr="00DA7EC1">
        <w:rPr>
          <w:lang w:val="en-US"/>
        </w:rPr>
        <w:t>New EU ETS Pha</w:t>
      </w:r>
      <w:r>
        <w:rPr>
          <w:lang w:val="en-US"/>
        </w:rPr>
        <w:t xml:space="preserve">se 4 rules temporarily puncture </w:t>
      </w:r>
      <w:r w:rsidRPr="00DA7EC1">
        <w:rPr>
          <w:lang w:val="en-US"/>
        </w:rPr>
        <w:t>waterbed</w:t>
      </w:r>
      <w:r>
        <w:rPr>
          <w:lang w:val="en-US"/>
        </w:rPr>
        <w:t xml:space="preserve">, </w:t>
      </w:r>
      <w:r>
        <w:rPr>
          <w:i/>
          <w:lang w:val="en-US"/>
        </w:rPr>
        <w:t xml:space="preserve">Nature Climate Change </w:t>
      </w:r>
      <w:r>
        <w:rPr>
          <w:lang w:val="en-US"/>
        </w:rPr>
        <w:t>8, 260-271.</w:t>
      </w:r>
    </w:p>
    <w:p w:rsidR="00CA0F7D" w:rsidRPr="00A87291" w:rsidRDefault="00724B88" w:rsidP="00CA0F7D">
      <w:pPr>
        <w:rPr>
          <w:vertAlign w:val="superscript"/>
          <w:lang w:val="en-US"/>
        </w:rPr>
      </w:pPr>
      <w:r>
        <w:rPr>
          <w:vertAlign w:val="superscript"/>
          <w:lang w:val="en-US"/>
        </w:rPr>
        <w:t>2</w:t>
      </w:r>
      <w:r w:rsidR="00CA0F7D" w:rsidRPr="00A87291">
        <w:rPr>
          <w:vertAlign w:val="superscript"/>
          <w:lang w:val="en-US"/>
        </w:rPr>
        <w:t xml:space="preserve"> </w:t>
      </w:r>
      <w:r w:rsidR="00CA0F7D" w:rsidRPr="00CA0F7D">
        <w:rPr>
          <w:lang w:val="en-GB"/>
        </w:rPr>
        <w:t xml:space="preserve">Ellerman, A.D., C. Marcantonini and A. </w:t>
      </w:r>
      <w:proofErr w:type="spellStart"/>
      <w:r w:rsidR="00CA0F7D" w:rsidRPr="00CA0F7D">
        <w:rPr>
          <w:lang w:val="en-GB"/>
        </w:rPr>
        <w:t>Zaklan</w:t>
      </w:r>
      <w:proofErr w:type="spellEnd"/>
      <w:r w:rsidR="00CA0F7D" w:rsidRPr="00CA0F7D">
        <w:rPr>
          <w:lang w:val="en-GB"/>
        </w:rPr>
        <w:t xml:space="preserve"> (2016): The European Union Emissions Trading System: Ten Years and Counting, </w:t>
      </w:r>
      <w:r w:rsidR="00CA0F7D" w:rsidRPr="00CA0F7D">
        <w:rPr>
          <w:i/>
          <w:lang w:val="en-GB"/>
        </w:rPr>
        <w:t>Review of Environmental Economics and Policy</w:t>
      </w:r>
      <w:r w:rsidR="00CA0F7D">
        <w:rPr>
          <w:lang w:val="en-GB"/>
        </w:rPr>
        <w:t xml:space="preserve"> 10, </w:t>
      </w:r>
      <w:r w:rsidR="00CA0F7D" w:rsidRPr="00CA0F7D">
        <w:rPr>
          <w:lang w:val="en-GB"/>
        </w:rPr>
        <w:t>89–107.</w:t>
      </w:r>
    </w:p>
    <w:p w:rsidR="00CA0F7D" w:rsidRPr="005435C1" w:rsidRDefault="00724B88" w:rsidP="00CA0F7D">
      <w:r>
        <w:rPr>
          <w:vertAlign w:val="superscript"/>
          <w:lang w:val="en-US"/>
        </w:rPr>
        <w:t>3</w:t>
      </w:r>
      <w:r w:rsidR="00CA0F7D" w:rsidRPr="00A87291">
        <w:rPr>
          <w:vertAlign w:val="superscript"/>
          <w:lang w:val="en-US"/>
        </w:rPr>
        <w:t xml:space="preserve"> </w:t>
      </w:r>
      <w:r w:rsidR="00CA0F7D">
        <w:rPr>
          <w:lang w:val="en-US"/>
        </w:rPr>
        <w:t xml:space="preserve">EU (2018): </w:t>
      </w:r>
      <w:r w:rsidR="00CA0F7D" w:rsidRPr="0040190D">
        <w:rPr>
          <w:lang w:val="en-US"/>
        </w:rPr>
        <w:t>CO</w:t>
      </w:r>
      <w:r w:rsidR="00CA0F7D">
        <w:rPr>
          <w:lang w:val="en-US"/>
        </w:rPr>
        <w:t xml:space="preserve">MMUNICATION FROM THE COMMISSION. </w:t>
      </w:r>
      <w:r w:rsidR="00CA0F7D" w:rsidRPr="0040190D">
        <w:rPr>
          <w:lang w:val="en-US"/>
        </w:rPr>
        <w:t xml:space="preserve">Publication of the total number of allowances in circulation in 2017 for </w:t>
      </w:r>
      <w:r w:rsidR="00CA0F7D">
        <w:rPr>
          <w:lang w:val="en-US"/>
        </w:rPr>
        <w:t xml:space="preserve">the purposes of </w:t>
      </w:r>
      <w:r w:rsidR="00CA0F7D" w:rsidRPr="0040190D">
        <w:rPr>
          <w:lang w:val="en-US"/>
        </w:rPr>
        <w:t>the Market Stability Reserve under the EU Emission</w:t>
      </w:r>
      <w:r w:rsidR="00CA0F7D">
        <w:rPr>
          <w:lang w:val="en-US"/>
        </w:rPr>
        <w:t xml:space="preserve">s Trading System established by </w:t>
      </w:r>
      <w:r w:rsidR="00CA0F7D" w:rsidRPr="0040190D">
        <w:rPr>
          <w:lang w:val="en-US"/>
        </w:rPr>
        <w:t>Directive 2003/87/EC</w:t>
      </w:r>
      <w:r w:rsidR="00CA0F7D">
        <w:rPr>
          <w:lang w:val="en-US"/>
        </w:rPr>
        <w:t>.</w:t>
      </w:r>
      <w:r w:rsidR="00CA0F7D">
        <w:rPr>
          <w:lang w:val="en-US"/>
        </w:rPr>
        <w:br/>
      </w:r>
      <w:hyperlink r:id="rId7" w:history="1">
        <w:r w:rsidR="00CA0F7D" w:rsidRPr="005435C1">
          <w:rPr>
            <w:rStyle w:val="Hyperlink"/>
          </w:rPr>
          <w:t>https://ec.europa.eu/clima/sites/clima/files/ets/reform/docs/c_2018_2801_en.pdf</w:t>
        </w:r>
      </w:hyperlink>
      <w:r w:rsidR="00CA0F7D" w:rsidRPr="005435C1">
        <w:t xml:space="preserve"> </w:t>
      </w:r>
    </w:p>
    <w:p w:rsidR="00724B88" w:rsidRPr="00A87291" w:rsidRDefault="00724B88" w:rsidP="00724B88">
      <w:pPr>
        <w:rPr>
          <w:vertAlign w:val="superscript"/>
          <w:lang w:val="en-US"/>
        </w:rPr>
      </w:pPr>
      <w:r>
        <w:rPr>
          <w:vertAlign w:val="superscript"/>
          <w:lang w:val="en-US"/>
        </w:rPr>
        <w:t>4</w:t>
      </w:r>
      <w:r w:rsidRPr="00A87291">
        <w:rPr>
          <w:vertAlign w:val="superscript"/>
          <w:lang w:val="en-US"/>
        </w:rPr>
        <w:t xml:space="preserve"> </w:t>
      </w:r>
      <w:r>
        <w:rPr>
          <w:lang w:val="en-GB"/>
        </w:rPr>
        <w:t>European Commission: Market Stability Reserve</w:t>
      </w:r>
      <w:r w:rsidRPr="00267355">
        <w:rPr>
          <w:rStyle w:val="Hyperlink"/>
          <w:lang w:val="en-US"/>
        </w:rPr>
        <w:t xml:space="preserve"> </w:t>
      </w:r>
      <w:r>
        <w:rPr>
          <w:rStyle w:val="Hyperlink"/>
          <w:lang w:val="en-US"/>
        </w:rPr>
        <w:br/>
      </w:r>
      <w:hyperlink r:id="rId8" w:history="1">
        <w:r w:rsidRPr="003C48FC">
          <w:rPr>
            <w:rStyle w:val="Hyperlink"/>
            <w:lang w:val="en-US"/>
          </w:rPr>
          <w:t>https://ec.europa.eu/clima/policies/ets/reform_en</w:t>
        </w:r>
      </w:hyperlink>
    </w:p>
    <w:p w:rsidR="00CA0F7D" w:rsidRDefault="00724B88" w:rsidP="00CA0F7D">
      <w:pPr>
        <w:rPr>
          <w:lang w:val="en-GB"/>
        </w:rPr>
      </w:pPr>
      <w:r>
        <w:rPr>
          <w:vertAlign w:val="superscript"/>
          <w:lang w:val="en-US"/>
        </w:rPr>
        <w:t>5</w:t>
      </w:r>
      <w:r w:rsidR="00CA0F7D" w:rsidRPr="00A87291">
        <w:rPr>
          <w:vertAlign w:val="superscript"/>
          <w:lang w:val="en-US"/>
        </w:rPr>
        <w:t xml:space="preserve"> </w:t>
      </w:r>
      <w:r w:rsidR="00CA0F7D" w:rsidRPr="00D530F8">
        <w:rPr>
          <w:lang w:val="en-US"/>
        </w:rPr>
        <w:t xml:space="preserve">Bertram, C., G. </w:t>
      </w:r>
      <w:proofErr w:type="spellStart"/>
      <w:r w:rsidR="00CA0F7D" w:rsidRPr="00D530F8">
        <w:rPr>
          <w:lang w:val="en-US"/>
        </w:rPr>
        <w:t>Luderer</w:t>
      </w:r>
      <w:proofErr w:type="spellEnd"/>
      <w:r w:rsidR="00CA0F7D" w:rsidRPr="00D530F8">
        <w:rPr>
          <w:lang w:val="en-US"/>
        </w:rPr>
        <w:t xml:space="preserve">, R.C. </w:t>
      </w:r>
      <w:proofErr w:type="spellStart"/>
      <w:r w:rsidR="00CA0F7D" w:rsidRPr="00D530F8">
        <w:rPr>
          <w:lang w:val="en-US"/>
        </w:rPr>
        <w:t>Pietzcker</w:t>
      </w:r>
      <w:proofErr w:type="spellEnd"/>
      <w:r w:rsidR="00CA0F7D" w:rsidRPr="00D530F8">
        <w:rPr>
          <w:lang w:val="en-US"/>
        </w:rPr>
        <w:t xml:space="preserve">, E. Schmid, E. </w:t>
      </w:r>
      <w:proofErr w:type="spellStart"/>
      <w:r w:rsidR="00CA0F7D" w:rsidRPr="00D530F8">
        <w:rPr>
          <w:lang w:val="en-US"/>
        </w:rPr>
        <w:t>Kriegler</w:t>
      </w:r>
      <w:proofErr w:type="spellEnd"/>
      <w:r w:rsidR="00CA0F7D" w:rsidRPr="00D530F8">
        <w:rPr>
          <w:lang w:val="en-US"/>
        </w:rPr>
        <w:t xml:space="preserve"> and O. Edenhofer (2015): Complementing carbon prices with technology policies to keep climate targets within reach</w:t>
      </w:r>
      <w:r w:rsidR="00CA0F7D">
        <w:rPr>
          <w:lang w:val="en-US"/>
        </w:rPr>
        <w:t xml:space="preserve">, </w:t>
      </w:r>
      <w:r w:rsidR="00CA0F7D" w:rsidRPr="00D530F8">
        <w:rPr>
          <w:i/>
          <w:lang w:val="en-US"/>
        </w:rPr>
        <w:t xml:space="preserve">Nature Climate </w:t>
      </w:r>
      <w:r w:rsidR="00CA0F7D" w:rsidRPr="00D530F8">
        <w:rPr>
          <w:i/>
          <w:lang w:val="en-GB"/>
        </w:rPr>
        <w:t>Change</w:t>
      </w:r>
      <w:r w:rsidR="00CA0F7D" w:rsidRPr="00D530F8">
        <w:rPr>
          <w:lang w:val="en-GB"/>
        </w:rPr>
        <w:t xml:space="preserve"> 5, 235–239</w:t>
      </w:r>
      <w:r w:rsidR="00CA0F7D">
        <w:rPr>
          <w:lang w:val="en-GB"/>
        </w:rPr>
        <w:t>.</w:t>
      </w:r>
    </w:p>
    <w:p w:rsidR="00724B88" w:rsidRDefault="00724B88" w:rsidP="00724B88">
      <w:pPr>
        <w:rPr>
          <w:lang w:val="en-GB"/>
        </w:rPr>
      </w:pPr>
      <w:r>
        <w:rPr>
          <w:vertAlign w:val="superscript"/>
          <w:lang w:val="en-US"/>
        </w:rPr>
        <w:t>6</w:t>
      </w:r>
      <w:r w:rsidRPr="00A87291">
        <w:rPr>
          <w:lang w:val="en-GB"/>
        </w:rPr>
        <w:t xml:space="preserve"> </w:t>
      </w:r>
      <w:r w:rsidRPr="005A5EEE">
        <w:rPr>
          <w:lang w:val="en-GB"/>
        </w:rPr>
        <w:t xml:space="preserve">Böhringer, C. and K.E. Rosendahl (2010): Green Serves the Dirtiest. On the Interaction between Black and Green Quotas, </w:t>
      </w:r>
      <w:r w:rsidRPr="005A5EEE">
        <w:rPr>
          <w:i/>
          <w:lang w:val="en-GB"/>
        </w:rPr>
        <w:t>Journal of Regulatory Economics</w:t>
      </w:r>
      <w:r w:rsidRPr="005A5EEE">
        <w:rPr>
          <w:lang w:val="en-GB"/>
        </w:rPr>
        <w:t xml:space="preserve"> 37, 316–325.</w:t>
      </w:r>
      <w:r>
        <w:rPr>
          <w:lang w:val="en-GB"/>
        </w:rPr>
        <w:t xml:space="preserve"> </w:t>
      </w:r>
    </w:p>
    <w:p w:rsidR="00CA0F7D" w:rsidRPr="00A54A6A" w:rsidRDefault="00724B88" w:rsidP="00CA0F7D">
      <w:pPr>
        <w:rPr>
          <w:lang w:val="en-US"/>
        </w:rPr>
      </w:pPr>
      <w:r>
        <w:rPr>
          <w:vertAlign w:val="superscript"/>
          <w:lang w:val="en-US"/>
        </w:rPr>
        <w:lastRenderedPageBreak/>
        <w:t>7</w:t>
      </w:r>
      <w:r w:rsidR="00CA0F7D" w:rsidRPr="00A87291">
        <w:rPr>
          <w:vertAlign w:val="superscript"/>
          <w:lang w:val="en-US"/>
        </w:rPr>
        <w:t xml:space="preserve"> </w:t>
      </w:r>
      <w:r w:rsidR="00CA0F7D">
        <w:rPr>
          <w:lang w:val="en-US"/>
        </w:rPr>
        <w:t xml:space="preserve">Carbon Pulse (2019): </w:t>
      </w:r>
      <w:r w:rsidR="00CA0F7D" w:rsidRPr="00A54A6A">
        <w:rPr>
          <w:lang w:val="en-US"/>
        </w:rPr>
        <w:t>EU Market: EUAs drop a euro in wake of German coal deal</w:t>
      </w:r>
      <w:r w:rsidR="00CA0F7D">
        <w:rPr>
          <w:lang w:val="en-US"/>
        </w:rPr>
        <w:t>, 28 January 2019.</w:t>
      </w:r>
      <w:r w:rsidR="00CA0F7D">
        <w:rPr>
          <w:lang w:val="en-US"/>
        </w:rPr>
        <w:br/>
      </w:r>
      <w:hyperlink r:id="rId9" w:history="1">
        <w:r w:rsidR="00CA0F7D" w:rsidRPr="006736CE">
          <w:rPr>
            <w:rStyle w:val="Hyperlink"/>
            <w:lang w:val="en-US"/>
          </w:rPr>
          <w:t>http://carbon-pulse.com/67927/</w:t>
        </w:r>
      </w:hyperlink>
      <w:r w:rsidR="00CA0F7D">
        <w:rPr>
          <w:lang w:val="en-US"/>
        </w:rPr>
        <w:t xml:space="preserve"> </w:t>
      </w:r>
    </w:p>
    <w:p w:rsidR="00CA0F7D" w:rsidRDefault="00724B88" w:rsidP="00CA0F7D">
      <w:pPr>
        <w:rPr>
          <w:lang w:val="en-US"/>
        </w:rPr>
      </w:pPr>
      <w:r>
        <w:rPr>
          <w:vertAlign w:val="superscript"/>
          <w:lang w:val="en-US"/>
        </w:rPr>
        <w:t>8</w:t>
      </w:r>
      <w:r w:rsidR="00CA0F7D" w:rsidRPr="00A87291">
        <w:rPr>
          <w:vertAlign w:val="superscript"/>
          <w:lang w:val="en-US"/>
        </w:rPr>
        <w:t xml:space="preserve"> </w:t>
      </w:r>
      <w:proofErr w:type="spellStart"/>
      <w:r w:rsidR="00CA0F7D">
        <w:rPr>
          <w:lang w:val="en-US"/>
        </w:rPr>
        <w:t>CarbonBrief</w:t>
      </w:r>
      <w:proofErr w:type="spellEnd"/>
      <w:r w:rsidR="00CA0F7D">
        <w:rPr>
          <w:lang w:val="en-US"/>
        </w:rPr>
        <w:t xml:space="preserve"> (2019): </w:t>
      </w:r>
      <w:r w:rsidR="00CA0F7D" w:rsidRPr="00043BD0">
        <w:rPr>
          <w:lang w:val="en-US"/>
        </w:rPr>
        <w:t>Analysis: How far would Germany’s 2038 coal phaseout breach Paris climate goals? 29 January 2019</w:t>
      </w:r>
      <w:r w:rsidR="00CA0F7D" w:rsidRPr="00043BD0">
        <w:rPr>
          <w:lang w:val="en-US"/>
        </w:rPr>
        <w:br/>
      </w:r>
      <w:hyperlink r:id="rId10" w:history="1">
        <w:r w:rsidR="00CA0F7D" w:rsidRPr="006736CE">
          <w:rPr>
            <w:rStyle w:val="Hyperlink"/>
            <w:lang w:val="en-US"/>
          </w:rPr>
          <w:t>https://www.carbonbrief.org/analysis-how-far-would-germanys-2038-coal-phaseout-breach-paris-climate-goals</w:t>
        </w:r>
      </w:hyperlink>
      <w:r w:rsidR="00CA0F7D">
        <w:rPr>
          <w:lang w:val="en-US"/>
        </w:rPr>
        <w:t xml:space="preserve"> </w:t>
      </w:r>
    </w:p>
    <w:p w:rsidR="00CA0F7D" w:rsidRPr="005435C1" w:rsidRDefault="00724B88" w:rsidP="00CA0F7D">
      <w:r>
        <w:rPr>
          <w:vertAlign w:val="superscript"/>
          <w:lang w:val="en-US"/>
        </w:rPr>
        <w:t>9</w:t>
      </w:r>
      <w:r w:rsidR="00CA0F7D" w:rsidRPr="000E6958">
        <w:rPr>
          <w:lang w:val="en-US"/>
        </w:rPr>
        <w:t xml:space="preserve"> </w:t>
      </w:r>
      <w:r w:rsidR="00CA0F7D" w:rsidRPr="00043BD0">
        <w:rPr>
          <w:lang w:val="en-US"/>
        </w:rPr>
        <w:t>Carbon Market Watch</w:t>
      </w:r>
      <w:r w:rsidR="00CA0F7D">
        <w:rPr>
          <w:lang w:val="en-US"/>
        </w:rPr>
        <w:t xml:space="preserve"> (2019): </w:t>
      </w:r>
      <w:r w:rsidR="00CA0F7D" w:rsidRPr="00551C8A">
        <w:rPr>
          <w:lang w:val="en-US"/>
        </w:rPr>
        <w:t>Germany: Coal phase-out must go hand-in-hand with emission permit cancellation to keep CO2 prices up</w:t>
      </w:r>
      <w:r w:rsidR="00CA0F7D">
        <w:rPr>
          <w:lang w:val="en-US"/>
        </w:rPr>
        <w:t>, 5 February 2019.</w:t>
      </w:r>
      <w:r w:rsidR="00CA0F7D">
        <w:rPr>
          <w:lang w:val="en-US"/>
        </w:rPr>
        <w:br/>
      </w:r>
      <w:hyperlink r:id="rId11" w:history="1">
        <w:r w:rsidR="00CA0F7D" w:rsidRPr="005435C1">
          <w:rPr>
            <w:rStyle w:val="Hyperlink"/>
          </w:rPr>
          <w:t>https://carbonmarketwatch.org/2019/02/05/germany-emission-permit-cancellation-and-coal-phase-out-must-go-hand-in-hand/</w:t>
        </w:r>
      </w:hyperlink>
      <w:r w:rsidR="00CA0F7D" w:rsidRPr="005435C1">
        <w:t xml:space="preserve"> </w:t>
      </w:r>
    </w:p>
    <w:p w:rsidR="002E5296" w:rsidRDefault="00724B88" w:rsidP="00CA0F7D">
      <w:r>
        <w:rPr>
          <w:vertAlign w:val="superscript"/>
          <w:lang w:val="en-US"/>
        </w:rPr>
        <w:t>10</w:t>
      </w:r>
      <w:r w:rsidR="00CA0F7D" w:rsidRPr="000E6958">
        <w:rPr>
          <w:lang w:val="en-US"/>
        </w:rPr>
        <w:t xml:space="preserve"> </w:t>
      </w:r>
      <w:r w:rsidR="002E5296">
        <w:rPr>
          <w:lang w:val="en-US"/>
        </w:rPr>
        <w:t xml:space="preserve">Rosendahl, K.E. (2019): </w:t>
      </w:r>
      <w:r w:rsidR="002E5296" w:rsidRPr="00BE1756">
        <w:rPr>
          <w:lang w:val="en-US"/>
        </w:rPr>
        <w:t>EU ETS and the new green paradox</w:t>
      </w:r>
      <w:r w:rsidR="002E5296">
        <w:rPr>
          <w:lang w:val="en-US"/>
        </w:rPr>
        <w:t>, CESifo Working Paper No. 7645.</w:t>
      </w:r>
      <w:r w:rsidR="002E5296">
        <w:rPr>
          <w:lang w:val="en-US"/>
        </w:rPr>
        <w:br/>
      </w:r>
      <w:hyperlink r:id="rId12" w:history="1">
        <w:r w:rsidR="002E5296" w:rsidRPr="00C53ED5">
          <w:rPr>
            <w:rStyle w:val="Hyperlink"/>
          </w:rPr>
          <w:t>https://www.cesifo.org/en/publikationen/2019/working-paper/eu-ets-and-new-green-paradox</w:t>
        </w:r>
      </w:hyperlink>
      <w:r w:rsidR="002E5296" w:rsidRPr="00C53ED5">
        <w:t xml:space="preserve"> </w:t>
      </w:r>
    </w:p>
    <w:p w:rsidR="00436389" w:rsidRPr="00436389" w:rsidRDefault="00436389" w:rsidP="00436389">
      <w:pPr>
        <w:rPr>
          <w:lang w:val="en-US"/>
        </w:rPr>
      </w:pPr>
      <w:r>
        <w:rPr>
          <w:vertAlign w:val="superscript"/>
          <w:lang w:val="en-US"/>
        </w:rPr>
        <w:t>11</w:t>
      </w:r>
      <w:r w:rsidRPr="000E6958">
        <w:rPr>
          <w:lang w:val="en-US"/>
        </w:rPr>
        <w:t xml:space="preserve"> </w:t>
      </w:r>
      <w:r w:rsidRPr="00436389">
        <w:rPr>
          <w:lang w:val="en-US"/>
        </w:rPr>
        <w:t>Gerlagh, R. &amp; Heijmans, R. J. R. K. (2019)</w:t>
      </w:r>
      <w:r>
        <w:rPr>
          <w:lang w:val="en-US"/>
        </w:rPr>
        <w:t xml:space="preserve">: </w:t>
      </w:r>
      <w:r w:rsidRPr="00436389">
        <w:rPr>
          <w:lang w:val="en-US"/>
        </w:rPr>
        <w:t>Climate-conscious consumers and the</w:t>
      </w:r>
      <w:r>
        <w:rPr>
          <w:lang w:val="en-US"/>
        </w:rPr>
        <w:t xml:space="preserve"> </w:t>
      </w:r>
      <w:r w:rsidRPr="00436389">
        <w:rPr>
          <w:lang w:val="en-US"/>
        </w:rPr>
        <w:t xml:space="preserve">buy, bank, burn program. Nat. </w:t>
      </w:r>
      <w:proofErr w:type="spellStart"/>
      <w:r w:rsidRPr="00436389">
        <w:rPr>
          <w:lang w:val="en-US"/>
        </w:rPr>
        <w:t>Clim</w:t>
      </w:r>
      <w:proofErr w:type="spellEnd"/>
      <w:r w:rsidRPr="00436389">
        <w:rPr>
          <w:lang w:val="en-US"/>
        </w:rPr>
        <w:t>. Change 9, 431–433.</w:t>
      </w:r>
    </w:p>
    <w:p w:rsidR="00CA0F7D" w:rsidRPr="000E6958" w:rsidRDefault="002E5296" w:rsidP="00CA0F7D">
      <w:pPr>
        <w:rPr>
          <w:lang w:val="en-US"/>
        </w:rPr>
      </w:pPr>
      <w:r>
        <w:rPr>
          <w:vertAlign w:val="superscript"/>
          <w:lang w:val="en-US"/>
        </w:rPr>
        <w:t>1</w:t>
      </w:r>
      <w:r w:rsidR="00436389">
        <w:rPr>
          <w:vertAlign w:val="superscript"/>
          <w:lang w:val="en-US"/>
        </w:rPr>
        <w:t>2</w:t>
      </w:r>
      <w:r w:rsidRPr="000E6958">
        <w:rPr>
          <w:lang w:val="en-US"/>
        </w:rPr>
        <w:t xml:space="preserve"> </w:t>
      </w:r>
      <w:proofErr w:type="spellStart"/>
      <w:r w:rsidR="00CA0F7D" w:rsidRPr="00E83DEA">
        <w:rPr>
          <w:lang w:val="en-US"/>
        </w:rPr>
        <w:t>Refinitiv</w:t>
      </w:r>
      <w:proofErr w:type="spellEnd"/>
      <w:r w:rsidR="00CA0F7D" w:rsidRPr="00E83DEA">
        <w:rPr>
          <w:lang w:val="en-US"/>
        </w:rPr>
        <w:t xml:space="preserve"> Carbon (2018): EUA price forec</w:t>
      </w:r>
      <w:r w:rsidR="00CA0F7D">
        <w:rPr>
          <w:lang w:val="en-US"/>
        </w:rPr>
        <w:t xml:space="preserve">ast: </w:t>
      </w:r>
      <w:r w:rsidR="00CA0F7D" w:rsidRPr="00E83DEA">
        <w:rPr>
          <w:lang w:val="en-US"/>
        </w:rPr>
        <w:t xml:space="preserve">A new era for European carbon or calmer waters ahead? </w:t>
      </w:r>
      <w:r w:rsidR="00CA0F7D">
        <w:rPr>
          <w:lang w:val="en-US"/>
        </w:rPr>
        <w:t xml:space="preserve">Report </w:t>
      </w:r>
      <w:r w:rsidR="00CA0F7D" w:rsidRPr="00E83DEA">
        <w:rPr>
          <w:lang w:val="en-US"/>
        </w:rPr>
        <w:t xml:space="preserve">16 </w:t>
      </w:r>
      <w:r w:rsidR="00CA0F7D">
        <w:rPr>
          <w:lang w:val="en-US"/>
        </w:rPr>
        <w:t xml:space="preserve">October </w:t>
      </w:r>
      <w:r w:rsidR="00CA0F7D" w:rsidRPr="00E83DEA">
        <w:rPr>
          <w:lang w:val="en-US"/>
        </w:rPr>
        <w:t>2018</w:t>
      </w:r>
      <w:r w:rsidR="00CA0F7D">
        <w:rPr>
          <w:lang w:val="en-US"/>
        </w:rPr>
        <w:t xml:space="preserve">. </w:t>
      </w:r>
      <w:proofErr w:type="spellStart"/>
      <w:r w:rsidR="00CA0F7D" w:rsidRPr="00E83DEA">
        <w:rPr>
          <w:lang w:val="en-US"/>
        </w:rPr>
        <w:t>Refinitiv</w:t>
      </w:r>
      <w:proofErr w:type="spellEnd"/>
      <w:r w:rsidR="00CA0F7D">
        <w:rPr>
          <w:lang w:val="en-US"/>
        </w:rPr>
        <w:t>.</w:t>
      </w:r>
      <w:r w:rsidR="00CA0F7D" w:rsidRPr="00E83DEA">
        <w:rPr>
          <w:lang w:val="en-US"/>
        </w:rPr>
        <w:t xml:space="preserve"> </w:t>
      </w:r>
    </w:p>
    <w:sectPr w:rsidR="00CA0F7D" w:rsidRPr="000E6958">
      <w:footnotePr>
        <w:numFmt w:val="lowerLetter"/>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148F" w:rsidRDefault="00AD148F" w:rsidP="000C2BE8">
      <w:pPr>
        <w:spacing w:after="0" w:line="240" w:lineRule="auto"/>
      </w:pPr>
      <w:r>
        <w:separator/>
      </w:r>
    </w:p>
  </w:endnote>
  <w:endnote w:type="continuationSeparator" w:id="0">
    <w:p w:rsidR="00AD148F" w:rsidRDefault="00AD148F" w:rsidP="000C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148F" w:rsidRDefault="00AD148F" w:rsidP="000C2BE8">
      <w:pPr>
        <w:spacing w:after="0" w:line="240" w:lineRule="auto"/>
      </w:pPr>
      <w:r>
        <w:separator/>
      </w:r>
    </w:p>
  </w:footnote>
  <w:footnote w:type="continuationSeparator" w:id="0">
    <w:p w:rsidR="00AD148F" w:rsidRDefault="00AD148F" w:rsidP="000C2B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nb-NO" w:vendorID="64" w:dllVersion="0" w:nlCheck="1" w:checkStyle="0"/>
  <w:activeWritingStyle w:appName="MSWord" w:lang="nb-NO" w:vendorID="64" w:dllVersion="6" w:nlCheck="1" w:checkStyle="0"/>
  <w:activeWritingStyle w:appName="MSWord" w:lang="en-GB" w:vendorID="64" w:dllVersion="6" w:nlCheck="1" w:checkStyle="1"/>
  <w:activeWritingStyle w:appName="MSWord" w:lang="pt-PT" w:vendorID="64" w:dllVersion="0" w:nlCheck="1" w:checkStyle="0"/>
  <w:activeWritingStyle w:appName="MSWord" w:lang="sv-SE" w:vendorID="64" w:dllVersion="0" w:nlCheck="1" w:checkStyle="0"/>
  <w:activeWritingStyle w:appName="MSWord" w:lang="en-GB" w:vendorID="64" w:dllVersion="0" w:nlCheck="1" w:checkStyle="0"/>
  <w:proofState w:spelling="clean"/>
  <w:defaultTabStop w:val="708"/>
  <w:hyphenationZone w:val="425"/>
  <w:characterSpacingControl w:val="doNotCompress"/>
  <w:hdrShapeDefaults>
    <o:shapedefaults v:ext="edit" spidmax="4097"/>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E6"/>
    <w:rsid w:val="00001DBE"/>
    <w:rsid w:val="00003103"/>
    <w:rsid w:val="000069E9"/>
    <w:rsid w:val="00006A33"/>
    <w:rsid w:val="00006D95"/>
    <w:rsid w:val="000073E3"/>
    <w:rsid w:val="00015F46"/>
    <w:rsid w:val="0002231B"/>
    <w:rsid w:val="00026FA5"/>
    <w:rsid w:val="00034483"/>
    <w:rsid w:val="0004172E"/>
    <w:rsid w:val="00043BD0"/>
    <w:rsid w:val="00044E5A"/>
    <w:rsid w:val="000463AF"/>
    <w:rsid w:val="00053AE0"/>
    <w:rsid w:val="000579FF"/>
    <w:rsid w:val="00065ABC"/>
    <w:rsid w:val="0008317E"/>
    <w:rsid w:val="00084B4A"/>
    <w:rsid w:val="000A2F75"/>
    <w:rsid w:val="000A6415"/>
    <w:rsid w:val="000B23A8"/>
    <w:rsid w:val="000B741A"/>
    <w:rsid w:val="000C0E3D"/>
    <w:rsid w:val="000C2BE8"/>
    <w:rsid w:val="000C340E"/>
    <w:rsid w:val="000C6B7F"/>
    <w:rsid w:val="000C7D9B"/>
    <w:rsid w:val="000D324B"/>
    <w:rsid w:val="000D50E7"/>
    <w:rsid w:val="000E4CF6"/>
    <w:rsid w:val="000F3CE0"/>
    <w:rsid w:val="001019C8"/>
    <w:rsid w:val="00102807"/>
    <w:rsid w:val="00102BED"/>
    <w:rsid w:val="001128D1"/>
    <w:rsid w:val="001159D1"/>
    <w:rsid w:val="00126DBF"/>
    <w:rsid w:val="0013005E"/>
    <w:rsid w:val="001322AC"/>
    <w:rsid w:val="00140F0A"/>
    <w:rsid w:val="001412A4"/>
    <w:rsid w:val="001422CA"/>
    <w:rsid w:val="00164A27"/>
    <w:rsid w:val="00171CF4"/>
    <w:rsid w:val="001753CE"/>
    <w:rsid w:val="001757DE"/>
    <w:rsid w:val="00182E1D"/>
    <w:rsid w:val="001843D7"/>
    <w:rsid w:val="00190089"/>
    <w:rsid w:val="00195074"/>
    <w:rsid w:val="001A631A"/>
    <w:rsid w:val="001D1BFA"/>
    <w:rsid w:val="001D57EA"/>
    <w:rsid w:val="001D6C05"/>
    <w:rsid w:val="001D70D9"/>
    <w:rsid w:val="001E3CEC"/>
    <w:rsid w:val="001F6E03"/>
    <w:rsid w:val="001F7E61"/>
    <w:rsid w:val="00202A3B"/>
    <w:rsid w:val="0022234C"/>
    <w:rsid w:val="00225DC5"/>
    <w:rsid w:val="002315F4"/>
    <w:rsid w:val="00233C8A"/>
    <w:rsid w:val="002434C9"/>
    <w:rsid w:val="002452B5"/>
    <w:rsid w:val="002470BE"/>
    <w:rsid w:val="00250678"/>
    <w:rsid w:val="00250D1B"/>
    <w:rsid w:val="0026204A"/>
    <w:rsid w:val="00262398"/>
    <w:rsid w:val="002666B8"/>
    <w:rsid w:val="00277033"/>
    <w:rsid w:val="0028054F"/>
    <w:rsid w:val="00280FC8"/>
    <w:rsid w:val="002824BF"/>
    <w:rsid w:val="00287567"/>
    <w:rsid w:val="00291A5E"/>
    <w:rsid w:val="00297D11"/>
    <w:rsid w:val="002A6C15"/>
    <w:rsid w:val="002B3FA7"/>
    <w:rsid w:val="002B591F"/>
    <w:rsid w:val="002B700A"/>
    <w:rsid w:val="002B76D1"/>
    <w:rsid w:val="002B794C"/>
    <w:rsid w:val="002B7A28"/>
    <w:rsid w:val="002D383B"/>
    <w:rsid w:val="002D7FC2"/>
    <w:rsid w:val="002E39B6"/>
    <w:rsid w:val="002E5296"/>
    <w:rsid w:val="002E5F01"/>
    <w:rsid w:val="002E68C7"/>
    <w:rsid w:val="002F07F1"/>
    <w:rsid w:val="002F0E3B"/>
    <w:rsid w:val="002F2227"/>
    <w:rsid w:val="003028D4"/>
    <w:rsid w:val="00310657"/>
    <w:rsid w:val="00330DA8"/>
    <w:rsid w:val="003317E2"/>
    <w:rsid w:val="00334FB8"/>
    <w:rsid w:val="00336852"/>
    <w:rsid w:val="00336E65"/>
    <w:rsid w:val="00346C46"/>
    <w:rsid w:val="003470EC"/>
    <w:rsid w:val="00351FD9"/>
    <w:rsid w:val="00357817"/>
    <w:rsid w:val="0036363F"/>
    <w:rsid w:val="003645C9"/>
    <w:rsid w:val="003710E5"/>
    <w:rsid w:val="0037510A"/>
    <w:rsid w:val="003869AF"/>
    <w:rsid w:val="00386CF2"/>
    <w:rsid w:val="003878CE"/>
    <w:rsid w:val="003905EA"/>
    <w:rsid w:val="00396697"/>
    <w:rsid w:val="003A011F"/>
    <w:rsid w:val="003A5C05"/>
    <w:rsid w:val="003A6E60"/>
    <w:rsid w:val="003A75B4"/>
    <w:rsid w:val="003C027F"/>
    <w:rsid w:val="003C422B"/>
    <w:rsid w:val="003C48FC"/>
    <w:rsid w:val="003D2325"/>
    <w:rsid w:val="003E059D"/>
    <w:rsid w:val="003F10CF"/>
    <w:rsid w:val="0040190D"/>
    <w:rsid w:val="004146A0"/>
    <w:rsid w:val="00416FE2"/>
    <w:rsid w:val="00420871"/>
    <w:rsid w:val="00423C16"/>
    <w:rsid w:val="004322BB"/>
    <w:rsid w:val="00436389"/>
    <w:rsid w:val="0044004E"/>
    <w:rsid w:val="004406FC"/>
    <w:rsid w:val="004463AF"/>
    <w:rsid w:val="004524E6"/>
    <w:rsid w:val="00484919"/>
    <w:rsid w:val="00490298"/>
    <w:rsid w:val="00497E10"/>
    <w:rsid w:val="004A34C0"/>
    <w:rsid w:val="004A6B82"/>
    <w:rsid w:val="004B1A64"/>
    <w:rsid w:val="004B415E"/>
    <w:rsid w:val="004B6A65"/>
    <w:rsid w:val="004C5089"/>
    <w:rsid w:val="004C7CED"/>
    <w:rsid w:val="004D358A"/>
    <w:rsid w:val="004F1081"/>
    <w:rsid w:val="004F781A"/>
    <w:rsid w:val="00513DC4"/>
    <w:rsid w:val="00514FB6"/>
    <w:rsid w:val="0052047D"/>
    <w:rsid w:val="0052646F"/>
    <w:rsid w:val="00530767"/>
    <w:rsid w:val="005337B7"/>
    <w:rsid w:val="005338F0"/>
    <w:rsid w:val="005435C1"/>
    <w:rsid w:val="00551C8A"/>
    <w:rsid w:val="00552930"/>
    <w:rsid w:val="00554854"/>
    <w:rsid w:val="005570C5"/>
    <w:rsid w:val="00561DF6"/>
    <w:rsid w:val="00563519"/>
    <w:rsid w:val="00575640"/>
    <w:rsid w:val="00581FEE"/>
    <w:rsid w:val="005862CA"/>
    <w:rsid w:val="00587C0B"/>
    <w:rsid w:val="0059092A"/>
    <w:rsid w:val="00591099"/>
    <w:rsid w:val="005A1D6F"/>
    <w:rsid w:val="005A45DA"/>
    <w:rsid w:val="005A75C9"/>
    <w:rsid w:val="005B5BEA"/>
    <w:rsid w:val="005C5641"/>
    <w:rsid w:val="005D1308"/>
    <w:rsid w:val="005D1F3A"/>
    <w:rsid w:val="005D2854"/>
    <w:rsid w:val="005D6BA9"/>
    <w:rsid w:val="005E3FB5"/>
    <w:rsid w:val="005E4D12"/>
    <w:rsid w:val="005F3C38"/>
    <w:rsid w:val="005F3F87"/>
    <w:rsid w:val="005F5F55"/>
    <w:rsid w:val="006045D8"/>
    <w:rsid w:val="006115BD"/>
    <w:rsid w:val="00612C28"/>
    <w:rsid w:val="00613B23"/>
    <w:rsid w:val="00617DA0"/>
    <w:rsid w:val="00625E19"/>
    <w:rsid w:val="006331DC"/>
    <w:rsid w:val="00637435"/>
    <w:rsid w:val="0064179A"/>
    <w:rsid w:val="00643727"/>
    <w:rsid w:val="006578BC"/>
    <w:rsid w:val="00660E32"/>
    <w:rsid w:val="006646D3"/>
    <w:rsid w:val="0067619C"/>
    <w:rsid w:val="0069693C"/>
    <w:rsid w:val="006A5DBD"/>
    <w:rsid w:val="006B3E40"/>
    <w:rsid w:val="006B6599"/>
    <w:rsid w:val="006C258D"/>
    <w:rsid w:val="006C540C"/>
    <w:rsid w:val="006C6B6D"/>
    <w:rsid w:val="006D4ABC"/>
    <w:rsid w:val="006D4D4A"/>
    <w:rsid w:val="006D7F28"/>
    <w:rsid w:val="006F1D12"/>
    <w:rsid w:val="006F514E"/>
    <w:rsid w:val="00704E05"/>
    <w:rsid w:val="007071EE"/>
    <w:rsid w:val="007149A2"/>
    <w:rsid w:val="00724B88"/>
    <w:rsid w:val="007311BB"/>
    <w:rsid w:val="00733720"/>
    <w:rsid w:val="00742A52"/>
    <w:rsid w:val="00742C3E"/>
    <w:rsid w:val="00745C1F"/>
    <w:rsid w:val="0075320E"/>
    <w:rsid w:val="00753472"/>
    <w:rsid w:val="00762272"/>
    <w:rsid w:val="00766CD9"/>
    <w:rsid w:val="00770E54"/>
    <w:rsid w:val="007869FA"/>
    <w:rsid w:val="007872E4"/>
    <w:rsid w:val="00787B7C"/>
    <w:rsid w:val="007910F1"/>
    <w:rsid w:val="007957E9"/>
    <w:rsid w:val="0079762D"/>
    <w:rsid w:val="007A2F12"/>
    <w:rsid w:val="007A57D4"/>
    <w:rsid w:val="007B439F"/>
    <w:rsid w:val="007C07DB"/>
    <w:rsid w:val="007C7ABB"/>
    <w:rsid w:val="007E4B01"/>
    <w:rsid w:val="007F4E8C"/>
    <w:rsid w:val="008007F3"/>
    <w:rsid w:val="008034E6"/>
    <w:rsid w:val="008143FF"/>
    <w:rsid w:val="00815261"/>
    <w:rsid w:val="008223C8"/>
    <w:rsid w:val="008248D4"/>
    <w:rsid w:val="00830F4E"/>
    <w:rsid w:val="008349DF"/>
    <w:rsid w:val="008353C6"/>
    <w:rsid w:val="008377BC"/>
    <w:rsid w:val="00842C44"/>
    <w:rsid w:val="00845D33"/>
    <w:rsid w:val="00852693"/>
    <w:rsid w:val="00862861"/>
    <w:rsid w:val="008650E0"/>
    <w:rsid w:val="008655FB"/>
    <w:rsid w:val="00867DA2"/>
    <w:rsid w:val="00873AD1"/>
    <w:rsid w:val="0089780F"/>
    <w:rsid w:val="008A161A"/>
    <w:rsid w:val="008A390B"/>
    <w:rsid w:val="008B188D"/>
    <w:rsid w:val="008C1E14"/>
    <w:rsid w:val="008C56A0"/>
    <w:rsid w:val="008D2D7F"/>
    <w:rsid w:val="008E2C6B"/>
    <w:rsid w:val="008E7C9B"/>
    <w:rsid w:val="008F1018"/>
    <w:rsid w:val="008F17B9"/>
    <w:rsid w:val="008F460C"/>
    <w:rsid w:val="008F7847"/>
    <w:rsid w:val="009043E0"/>
    <w:rsid w:val="00906E55"/>
    <w:rsid w:val="009207C5"/>
    <w:rsid w:val="0092207B"/>
    <w:rsid w:val="00930B8A"/>
    <w:rsid w:val="009321BD"/>
    <w:rsid w:val="0094109B"/>
    <w:rsid w:val="00956335"/>
    <w:rsid w:val="00962FFC"/>
    <w:rsid w:val="00970D25"/>
    <w:rsid w:val="00971653"/>
    <w:rsid w:val="009738D3"/>
    <w:rsid w:val="00977526"/>
    <w:rsid w:val="00977666"/>
    <w:rsid w:val="00990FC6"/>
    <w:rsid w:val="009935DE"/>
    <w:rsid w:val="00994554"/>
    <w:rsid w:val="00995372"/>
    <w:rsid w:val="00995479"/>
    <w:rsid w:val="00995670"/>
    <w:rsid w:val="00996E40"/>
    <w:rsid w:val="009A29E4"/>
    <w:rsid w:val="009A617C"/>
    <w:rsid w:val="009B0C58"/>
    <w:rsid w:val="009B1DFF"/>
    <w:rsid w:val="009C11E1"/>
    <w:rsid w:val="009C5025"/>
    <w:rsid w:val="009C7AF4"/>
    <w:rsid w:val="009D124B"/>
    <w:rsid w:val="009E1C1C"/>
    <w:rsid w:val="009E7239"/>
    <w:rsid w:val="009F6C05"/>
    <w:rsid w:val="00A115D0"/>
    <w:rsid w:val="00A11F7E"/>
    <w:rsid w:val="00A17112"/>
    <w:rsid w:val="00A17EFF"/>
    <w:rsid w:val="00A24108"/>
    <w:rsid w:val="00A25FB1"/>
    <w:rsid w:val="00A2706F"/>
    <w:rsid w:val="00A30D81"/>
    <w:rsid w:val="00A332A5"/>
    <w:rsid w:val="00A34699"/>
    <w:rsid w:val="00A3656C"/>
    <w:rsid w:val="00A369B7"/>
    <w:rsid w:val="00A37767"/>
    <w:rsid w:val="00A44791"/>
    <w:rsid w:val="00A547F3"/>
    <w:rsid w:val="00A5482D"/>
    <w:rsid w:val="00A54A6A"/>
    <w:rsid w:val="00A641EC"/>
    <w:rsid w:val="00A74994"/>
    <w:rsid w:val="00A84433"/>
    <w:rsid w:val="00A85642"/>
    <w:rsid w:val="00A85E18"/>
    <w:rsid w:val="00A878EB"/>
    <w:rsid w:val="00A93001"/>
    <w:rsid w:val="00AA5B7D"/>
    <w:rsid w:val="00AC26BA"/>
    <w:rsid w:val="00AC3B3F"/>
    <w:rsid w:val="00AD148F"/>
    <w:rsid w:val="00AF21B9"/>
    <w:rsid w:val="00B01AED"/>
    <w:rsid w:val="00B03323"/>
    <w:rsid w:val="00B0655C"/>
    <w:rsid w:val="00B14C95"/>
    <w:rsid w:val="00B178B9"/>
    <w:rsid w:val="00B20FF8"/>
    <w:rsid w:val="00B23002"/>
    <w:rsid w:val="00B260A6"/>
    <w:rsid w:val="00B30B47"/>
    <w:rsid w:val="00B3497E"/>
    <w:rsid w:val="00B366A7"/>
    <w:rsid w:val="00B5725F"/>
    <w:rsid w:val="00B57B2F"/>
    <w:rsid w:val="00B60260"/>
    <w:rsid w:val="00B61332"/>
    <w:rsid w:val="00B737DE"/>
    <w:rsid w:val="00B803E6"/>
    <w:rsid w:val="00B864D3"/>
    <w:rsid w:val="00BB04C7"/>
    <w:rsid w:val="00BB0749"/>
    <w:rsid w:val="00BB5BD5"/>
    <w:rsid w:val="00BC1144"/>
    <w:rsid w:val="00BC3F2E"/>
    <w:rsid w:val="00BC6727"/>
    <w:rsid w:val="00BD11A7"/>
    <w:rsid w:val="00BD4B6C"/>
    <w:rsid w:val="00BD70B5"/>
    <w:rsid w:val="00BE1197"/>
    <w:rsid w:val="00BE282D"/>
    <w:rsid w:val="00BE4538"/>
    <w:rsid w:val="00BF690D"/>
    <w:rsid w:val="00C01BFD"/>
    <w:rsid w:val="00C02C86"/>
    <w:rsid w:val="00C113E7"/>
    <w:rsid w:val="00C142DB"/>
    <w:rsid w:val="00C14FDC"/>
    <w:rsid w:val="00C22CF5"/>
    <w:rsid w:val="00C3690D"/>
    <w:rsid w:val="00C409E0"/>
    <w:rsid w:val="00C529DC"/>
    <w:rsid w:val="00C532D7"/>
    <w:rsid w:val="00C53ED5"/>
    <w:rsid w:val="00C555F5"/>
    <w:rsid w:val="00C72207"/>
    <w:rsid w:val="00C73A05"/>
    <w:rsid w:val="00C7651F"/>
    <w:rsid w:val="00C81F96"/>
    <w:rsid w:val="00C84752"/>
    <w:rsid w:val="00C935D4"/>
    <w:rsid w:val="00C95F5E"/>
    <w:rsid w:val="00CA0F7D"/>
    <w:rsid w:val="00CA4FE0"/>
    <w:rsid w:val="00CC2A56"/>
    <w:rsid w:val="00CC6241"/>
    <w:rsid w:val="00CD6F4D"/>
    <w:rsid w:val="00CE1A63"/>
    <w:rsid w:val="00CE5F7E"/>
    <w:rsid w:val="00CE63AD"/>
    <w:rsid w:val="00CF5E35"/>
    <w:rsid w:val="00D07F67"/>
    <w:rsid w:val="00D14E22"/>
    <w:rsid w:val="00D1677B"/>
    <w:rsid w:val="00D262EB"/>
    <w:rsid w:val="00D34F18"/>
    <w:rsid w:val="00D51F4B"/>
    <w:rsid w:val="00D530F8"/>
    <w:rsid w:val="00D65638"/>
    <w:rsid w:val="00D67AD7"/>
    <w:rsid w:val="00D7446F"/>
    <w:rsid w:val="00D8164A"/>
    <w:rsid w:val="00D845F9"/>
    <w:rsid w:val="00D85A9B"/>
    <w:rsid w:val="00DA0AD4"/>
    <w:rsid w:val="00DA1690"/>
    <w:rsid w:val="00DA3688"/>
    <w:rsid w:val="00DA74B5"/>
    <w:rsid w:val="00DB76FE"/>
    <w:rsid w:val="00DC19F8"/>
    <w:rsid w:val="00DC4F28"/>
    <w:rsid w:val="00DC7BF7"/>
    <w:rsid w:val="00DD0798"/>
    <w:rsid w:val="00DD26D5"/>
    <w:rsid w:val="00DF085F"/>
    <w:rsid w:val="00DF6536"/>
    <w:rsid w:val="00E02423"/>
    <w:rsid w:val="00E10833"/>
    <w:rsid w:val="00E132BC"/>
    <w:rsid w:val="00E25A25"/>
    <w:rsid w:val="00E31C58"/>
    <w:rsid w:val="00E3412A"/>
    <w:rsid w:val="00E3512D"/>
    <w:rsid w:val="00E35C37"/>
    <w:rsid w:val="00E44C74"/>
    <w:rsid w:val="00E556FD"/>
    <w:rsid w:val="00E57F23"/>
    <w:rsid w:val="00E60436"/>
    <w:rsid w:val="00E60EFD"/>
    <w:rsid w:val="00E62306"/>
    <w:rsid w:val="00E72C6F"/>
    <w:rsid w:val="00E760EA"/>
    <w:rsid w:val="00E81FEC"/>
    <w:rsid w:val="00E94939"/>
    <w:rsid w:val="00E9748E"/>
    <w:rsid w:val="00EA2614"/>
    <w:rsid w:val="00EA36AC"/>
    <w:rsid w:val="00EB09AE"/>
    <w:rsid w:val="00EB353D"/>
    <w:rsid w:val="00EB4492"/>
    <w:rsid w:val="00EB6035"/>
    <w:rsid w:val="00EC06CC"/>
    <w:rsid w:val="00EC139F"/>
    <w:rsid w:val="00EC7B1C"/>
    <w:rsid w:val="00ED601E"/>
    <w:rsid w:val="00EE02F8"/>
    <w:rsid w:val="00EE3665"/>
    <w:rsid w:val="00EE66F5"/>
    <w:rsid w:val="00EF7EF7"/>
    <w:rsid w:val="00F03FAA"/>
    <w:rsid w:val="00F04681"/>
    <w:rsid w:val="00F134CD"/>
    <w:rsid w:val="00F148EC"/>
    <w:rsid w:val="00F20B57"/>
    <w:rsid w:val="00F240C2"/>
    <w:rsid w:val="00F2546E"/>
    <w:rsid w:val="00F27EF3"/>
    <w:rsid w:val="00F4151C"/>
    <w:rsid w:val="00F4351D"/>
    <w:rsid w:val="00F50119"/>
    <w:rsid w:val="00F53127"/>
    <w:rsid w:val="00F64F61"/>
    <w:rsid w:val="00F717FD"/>
    <w:rsid w:val="00F73602"/>
    <w:rsid w:val="00F776CA"/>
    <w:rsid w:val="00F83F9A"/>
    <w:rsid w:val="00F84CA9"/>
    <w:rsid w:val="00F907E9"/>
    <w:rsid w:val="00F9122E"/>
    <w:rsid w:val="00FA3A76"/>
    <w:rsid w:val="00FA6A8A"/>
    <w:rsid w:val="00FB20FD"/>
    <w:rsid w:val="00FB6E9F"/>
    <w:rsid w:val="00FC2530"/>
    <w:rsid w:val="00FD02D1"/>
    <w:rsid w:val="00FD6503"/>
    <w:rsid w:val="00FF20CC"/>
    <w:rsid w:val="00FF38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B661E"/>
  <w15:chartTrackingRefBased/>
  <w15:docId w15:val="{98F021BB-5E98-49B8-8E21-CA15A811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A6A"/>
    <w:pPr>
      <w:spacing w:after="120" w:line="276" w:lineRule="auto"/>
    </w:pPr>
    <w:rPr>
      <w:rFonts w:ascii="Times New Roman" w:hAnsi="Times New Roman"/>
    </w:rPr>
  </w:style>
  <w:style w:type="paragraph" w:styleId="Heading1">
    <w:name w:val="heading 1"/>
    <w:basedOn w:val="Normal"/>
    <w:next w:val="Normal"/>
    <w:link w:val="Heading1Char"/>
    <w:uiPriority w:val="9"/>
    <w:qFormat/>
    <w:rsid w:val="005B5BEA"/>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5B5BEA"/>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B5BEA"/>
    <w:pPr>
      <w:keepNext/>
      <w:keepLines/>
      <w:spacing w:before="4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2B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2BE8"/>
    <w:rPr>
      <w:sz w:val="20"/>
      <w:szCs w:val="20"/>
    </w:rPr>
  </w:style>
  <w:style w:type="character" w:styleId="FootnoteReference">
    <w:name w:val="footnote reference"/>
    <w:basedOn w:val="DefaultParagraphFont"/>
    <w:uiPriority w:val="99"/>
    <w:semiHidden/>
    <w:unhideWhenUsed/>
    <w:rsid w:val="000C2BE8"/>
    <w:rPr>
      <w:vertAlign w:val="superscript"/>
    </w:rPr>
  </w:style>
  <w:style w:type="paragraph" w:styleId="ListParagraph">
    <w:name w:val="List Paragraph"/>
    <w:basedOn w:val="Normal"/>
    <w:uiPriority w:val="34"/>
    <w:qFormat/>
    <w:rsid w:val="00233C8A"/>
    <w:pPr>
      <w:ind w:left="720"/>
      <w:contextualSpacing/>
    </w:pPr>
  </w:style>
  <w:style w:type="character" w:customStyle="1" w:styleId="Heading1Char">
    <w:name w:val="Heading 1 Char"/>
    <w:basedOn w:val="DefaultParagraphFont"/>
    <w:link w:val="Heading1"/>
    <w:uiPriority w:val="9"/>
    <w:rsid w:val="005B5BEA"/>
    <w:rPr>
      <w:rFonts w:ascii="Times New Roman" w:eastAsiaTheme="majorEastAsia" w:hAnsi="Times New Roman" w:cstheme="majorBidi"/>
      <w:sz w:val="32"/>
      <w:szCs w:val="32"/>
    </w:rPr>
  </w:style>
  <w:style w:type="paragraph" w:styleId="BalloonText">
    <w:name w:val="Balloon Text"/>
    <w:basedOn w:val="Normal"/>
    <w:link w:val="BalloonTextChar"/>
    <w:uiPriority w:val="99"/>
    <w:semiHidden/>
    <w:unhideWhenUsed/>
    <w:rsid w:val="00046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3AF"/>
    <w:rPr>
      <w:rFonts w:ascii="Segoe UI" w:hAnsi="Segoe UI" w:cs="Segoe UI"/>
      <w:sz w:val="18"/>
      <w:szCs w:val="18"/>
    </w:rPr>
  </w:style>
  <w:style w:type="character" w:customStyle="1" w:styleId="Heading2Char">
    <w:name w:val="Heading 2 Char"/>
    <w:basedOn w:val="DefaultParagraphFont"/>
    <w:link w:val="Heading2"/>
    <w:uiPriority w:val="9"/>
    <w:rsid w:val="005B5BEA"/>
    <w:rPr>
      <w:rFonts w:ascii="Times New Roman" w:eastAsiaTheme="majorEastAsia" w:hAnsi="Times New Roman" w:cstheme="majorBidi"/>
      <w:b/>
      <w:sz w:val="26"/>
      <w:szCs w:val="26"/>
    </w:rPr>
  </w:style>
  <w:style w:type="table" w:styleId="TableGrid">
    <w:name w:val="Table Grid"/>
    <w:basedOn w:val="TableNormal"/>
    <w:uiPriority w:val="39"/>
    <w:rsid w:val="00906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70D9"/>
    <w:rPr>
      <w:color w:val="0563C1" w:themeColor="hyperlink"/>
      <w:u w:val="single"/>
    </w:rPr>
  </w:style>
  <w:style w:type="character" w:customStyle="1" w:styleId="Ulstomtale1">
    <w:name w:val="Uløst omtale1"/>
    <w:basedOn w:val="DefaultParagraphFont"/>
    <w:uiPriority w:val="99"/>
    <w:semiHidden/>
    <w:unhideWhenUsed/>
    <w:rsid w:val="001D70D9"/>
    <w:rPr>
      <w:color w:val="808080"/>
      <w:shd w:val="clear" w:color="auto" w:fill="E6E6E6"/>
    </w:rPr>
  </w:style>
  <w:style w:type="character" w:styleId="FollowedHyperlink">
    <w:name w:val="FollowedHyperlink"/>
    <w:basedOn w:val="DefaultParagraphFont"/>
    <w:uiPriority w:val="99"/>
    <w:semiHidden/>
    <w:unhideWhenUsed/>
    <w:rsid w:val="004463AF"/>
    <w:rPr>
      <w:color w:val="954F72" w:themeColor="followedHyperlink"/>
      <w:u w:val="single"/>
    </w:rPr>
  </w:style>
  <w:style w:type="paragraph" w:styleId="BodyText">
    <w:name w:val="Body Text"/>
    <w:basedOn w:val="Normal"/>
    <w:link w:val="BodyTextChar"/>
    <w:uiPriority w:val="99"/>
    <w:semiHidden/>
    <w:unhideWhenUsed/>
    <w:rsid w:val="005E3FB5"/>
  </w:style>
  <w:style w:type="character" w:customStyle="1" w:styleId="BodyTextChar">
    <w:name w:val="Body Text Char"/>
    <w:basedOn w:val="DefaultParagraphFont"/>
    <w:link w:val="BodyText"/>
    <w:uiPriority w:val="99"/>
    <w:semiHidden/>
    <w:rsid w:val="005E3FB5"/>
  </w:style>
  <w:style w:type="character" w:customStyle="1" w:styleId="Heading3Char">
    <w:name w:val="Heading 3 Char"/>
    <w:basedOn w:val="DefaultParagraphFont"/>
    <w:link w:val="Heading3"/>
    <w:uiPriority w:val="9"/>
    <w:rsid w:val="005B5BEA"/>
    <w:rPr>
      <w:rFonts w:ascii="Times New Roman" w:eastAsiaTheme="majorEastAsia" w:hAnsi="Times New Roman" w:cstheme="majorBidi"/>
      <w:i/>
      <w:sz w:val="24"/>
      <w:szCs w:val="24"/>
    </w:rPr>
  </w:style>
  <w:style w:type="paragraph" w:customStyle="1" w:styleId="Footnote">
    <w:name w:val="Footnote"/>
    <w:basedOn w:val="FootnoteText"/>
    <w:link w:val="FootnoteChar"/>
    <w:qFormat/>
    <w:rsid w:val="005B5BEA"/>
    <w:rPr>
      <w:sz w:val="18"/>
      <w:lang w:val="en-US"/>
    </w:rPr>
  </w:style>
  <w:style w:type="character" w:customStyle="1" w:styleId="FootnoteChar">
    <w:name w:val="Footnote Char"/>
    <w:basedOn w:val="FootnoteTextChar"/>
    <w:link w:val="Footnote"/>
    <w:rsid w:val="005B5BEA"/>
    <w:rPr>
      <w:rFonts w:ascii="Times New Roman" w:hAnsi="Times New Roman"/>
      <w:sz w:val="18"/>
      <w:szCs w:val="20"/>
      <w:lang w:val="en-US"/>
    </w:rPr>
  </w:style>
  <w:style w:type="paragraph" w:styleId="Title">
    <w:name w:val="Title"/>
    <w:basedOn w:val="Normal"/>
    <w:next w:val="Normal"/>
    <w:link w:val="TitleChar"/>
    <w:uiPriority w:val="10"/>
    <w:qFormat/>
    <w:rsid w:val="006045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5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5D8"/>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045D8"/>
    <w:rPr>
      <w:rFonts w:eastAsiaTheme="minorEastAsia"/>
      <w:color w:val="5A5A5A" w:themeColor="text1" w:themeTint="A5"/>
      <w:spacing w:val="15"/>
    </w:rPr>
  </w:style>
  <w:style w:type="character" w:styleId="SubtleEmphasis">
    <w:name w:val="Subtle Emphasis"/>
    <w:basedOn w:val="DefaultParagraphFont"/>
    <w:uiPriority w:val="19"/>
    <w:qFormat/>
    <w:rsid w:val="006045D8"/>
    <w:rPr>
      <w:i/>
      <w:iCs/>
      <w:color w:val="404040" w:themeColor="text1" w:themeTint="BF"/>
    </w:rPr>
  </w:style>
  <w:style w:type="character" w:styleId="IntenseEmphasis">
    <w:name w:val="Intense Emphasis"/>
    <w:basedOn w:val="DefaultParagraphFont"/>
    <w:uiPriority w:val="21"/>
    <w:qFormat/>
    <w:rsid w:val="006045D8"/>
    <w:rPr>
      <w:i/>
      <w:iCs/>
      <w:color w:val="5B9BD5" w:themeColor="accent1"/>
    </w:rPr>
  </w:style>
  <w:style w:type="character" w:styleId="Strong">
    <w:name w:val="Strong"/>
    <w:basedOn w:val="DefaultParagraphFont"/>
    <w:uiPriority w:val="22"/>
    <w:qFormat/>
    <w:rsid w:val="006045D8"/>
    <w:rPr>
      <w:b/>
      <w:bCs/>
    </w:rPr>
  </w:style>
  <w:style w:type="paragraph" w:styleId="Quote">
    <w:name w:val="Quote"/>
    <w:basedOn w:val="Normal"/>
    <w:next w:val="Normal"/>
    <w:link w:val="QuoteChar"/>
    <w:uiPriority w:val="29"/>
    <w:qFormat/>
    <w:rsid w:val="006045D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045D8"/>
    <w:rPr>
      <w:rFonts w:ascii="Times New Roman" w:hAnsi="Times New Roman"/>
      <w:i/>
      <w:iCs/>
      <w:color w:val="404040" w:themeColor="text1" w:themeTint="BF"/>
    </w:rPr>
  </w:style>
  <w:style w:type="character" w:customStyle="1" w:styleId="visually-hidden">
    <w:name w:val="visually-hidden"/>
    <w:basedOn w:val="DefaultParagraphFont"/>
    <w:rsid w:val="00A25FB1"/>
  </w:style>
  <w:style w:type="paragraph" w:styleId="EndnoteText">
    <w:name w:val="endnote text"/>
    <w:basedOn w:val="Normal"/>
    <w:link w:val="EndnoteTextChar"/>
    <w:uiPriority w:val="99"/>
    <w:semiHidden/>
    <w:unhideWhenUsed/>
    <w:rsid w:val="008B1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188D"/>
    <w:rPr>
      <w:rFonts w:ascii="Times New Roman" w:hAnsi="Times New Roman"/>
      <w:sz w:val="20"/>
      <w:szCs w:val="20"/>
    </w:rPr>
  </w:style>
  <w:style w:type="character" w:styleId="EndnoteReference">
    <w:name w:val="endnote reference"/>
    <w:basedOn w:val="DefaultParagraphFont"/>
    <w:uiPriority w:val="99"/>
    <w:semiHidden/>
    <w:unhideWhenUsed/>
    <w:rsid w:val="008B188D"/>
    <w:rPr>
      <w:vertAlign w:val="superscript"/>
    </w:rPr>
  </w:style>
  <w:style w:type="character" w:customStyle="1" w:styleId="Ulstomtale2">
    <w:name w:val="Uløst omtale2"/>
    <w:basedOn w:val="DefaultParagraphFont"/>
    <w:uiPriority w:val="99"/>
    <w:semiHidden/>
    <w:unhideWhenUsed/>
    <w:rsid w:val="00660E32"/>
    <w:rPr>
      <w:color w:val="605E5C"/>
      <w:shd w:val="clear" w:color="auto" w:fill="E1DFDD"/>
    </w:rPr>
  </w:style>
  <w:style w:type="character" w:styleId="UnresolvedMention">
    <w:name w:val="Unresolved Mention"/>
    <w:basedOn w:val="DefaultParagraphFont"/>
    <w:uiPriority w:val="99"/>
    <w:semiHidden/>
    <w:unhideWhenUsed/>
    <w:rsid w:val="002E5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lima/policies/ets/reform_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c.europa.eu/clima/sites/clima/files/ets/reform/docs/c_2018_2801_en.pdf" TargetMode="External"/><Relationship Id="rId12" Type="http://schemas.openxmlformats.org/officeDocument/2006/relationships/hyperlink" Target="https://www.cesifo.org/en/publikationen/2019/working-paper/eu-ets-and-new-green-parado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arbonmarketwatch.org/2019/02/05/germany-emission-permit-cancellation-and-coal-phase-out-must-go-hand-in-hand/" TargetMode="External"/><Relationship Id="rId5" Type="http://schemas.openxmlformats.org/officeDocument/2006/relationships/footnotes" Target="footnotes.xml"/><Relationship Id="rId10" Type="http://schemas.openxmlformats.org/officeDocument/2006/relationships/hyperlink" Target="https://www.carbonbrief.org/analysis-how-far-would-germanys-2038-coal-phaseout-breach-paris-climate-goals" TargetMode="External"/><Relationship Id="rId4" Type="http://schemas.openxmlformats.org/officeDocument/2006/relationships/webSettings" Target="webSettings.xml"/><Relationship Id="rId9" Type="http://schemas.openxmlformats.org/officeDocument/2006/relationships/hyperlink" Target="http://carbon-pulse.com/6792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71E61-4549-49C3-96EF-2B476BDC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1364</Words>
  <Characters>7230</Characters>
  <Application>Microsoft Office Word</Application>
  <DocSecurity>0</DocSecurity>
  <Lines>60</Lines>
  <Paragraphs>17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NMBU</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Einar Rosendahl</dc:creator>
  <cp:keywords/>
  <dc:description/>
  <cp:lastModifiedBy>Knut Einar Rosendahl</cp:lastModifiedBy>
  <cp:revision>2</cp:revision>
  <cp:lastPrinted>2019-01-15T10:46:00Z</cp:lastPrinted>
  <dcterms:created xsi:type="dcterms:W3CDTF">2019-12-27T08:48:00Z</dcterms:created>
  <dcterms:modified xsi:type="dcterms:W3CDTF">2019-12-27T08:48:00Z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knut.einar.rosendahl@nmbu.no</vt:lpwstr>
  </property>
  <property fmtid="{D5CDD505-2E9C-101B-9397-08002B2CF9AE}" pid="5" name="MSIP_Label_d0484126-3486-41a9-802e-7f1e2277276c_SetDate">
    <vt:lpwstr>2019-08-13T09:36:15.4270725Z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b0a37075-75be-45cb-b94b-6fb420d7f03a</vt:lpwstr>
  </property>
  <property fmtid="{D5CDD505-2E9C-101B-9397-08002B2CF9AE}" pid="9" name="MSIP_Label_d0484126-3486-41a9-802e-7f1e2277276c_Extended_MSFT_Method">
    <vt:lpwstr>Automatic</vt:lpwstr>
  </property>
  <property fmtid="{D5CDD505-2E9C-101B-9397-08002B2CF9AE}" pid="10" name="Sensitivity">
    <vt:lpwstr>Internal</vt:lpwstr>
  </property>
</Properties>
</file>