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025" w:rsidRDefault="00571EC0">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The grayling genome reveals selection on gene expression regulation after whole genome duplication</w:t>
      </w:r>
    </w:p>
    <w:p w:rsidR="00E94025" w:rsidRDefault="00571EC0">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Srinidhi Varadharajan</w:t>
      </w:r>
      <w:r>
        <w:rPr>
          <w:rFonts w:ascii="Times New Roman" w:eastAsia="Times New Roman" w:hAnsi="Times New Roman" w:cs="Times New Roman"/>
          <w:vertAlign w:val="superscript"/>
        </w:rPr>
        <w:t>1*</w:t>
      </w:r>
      <w:r>
        <w:rPr>
          <w:rFonts w:ascii="Times New Roman" w:eastAsia="Times New Roman" w:hAnsi="Times New Roman" w:cs="Times New Roman"/>
        </w:rPr>
        <w:t>, Simen R. Sandve</w:t>
      </w:r>
      <w:r>
        <w:rPr>
          <w:rFonts w:ascii="Times New Roman" w:eastAsia="Times New Roman" w:hAnsi="Times New Roman" w:cs="Times New Roman"/>
          <w:vertAlign w:val="superscript"/>
        </w:rPr>
        <w:t>2*</w:t>
      </w:r>
      <w:r>
        <w:rPr>
          <w:rFonts w:ascii="Times New Roman" w:eastAsia="Times New Roman" w:hAnsi="Times New Roman" w:cs="Times New Roman"/>
        </w:rPr>
        <w:t>§, Gareth B. Gillard</w:t>
      </w:r>
      <w:r>
        <w:rPr>
          <w:rFonts w:ascii="Times New Roman" w:eastAsia="Times New Roman" w:hAnsi="Times New Roman" w:cs="Times New Roman"/>
          <w:vertAlign w:val="superscript"/>
        </w:rPr>
        <w:t>3</w:t>
      </w:r>
      <w:r>
        <w:rPr>
          <w:rFonts w:ascii="Times New Roman" w:eastAsia="Times New Roman" w:hAnsi="Times New Roman" w:cs="Times New Roman"/>
        </w:rPr>
        <w:t>, Ole K. Tørresen</w:t>
      </w:r>
      <w:r>
        <w:rPr>
          <w:rFonts w:ascii="Times New Roman" w:eastAsia="Times New Roman" w:hAnsi="Times New Roman" w:cs="Times New Roman"/>
          <w:vertAlign w:val="superscript"/>
        </w:rPr>
        <w:t>1</w:t>
      </w:r>
      <w:r>
        <w:rPr>
          <w:rFonts w:ascii="Times New Roman" w:eastAsia="Times New Roman" w:hAnsi="Times New Roman" w:cs="Times New Roman"/>
        </w:rPr>
        <w:t>, Teshome D. Mulugeta</w:t>
      </w:r>
      <w:r>
        <w:rPr>
          <w:rFonts w:ascii="Times New Roman" w:eastAsia="Times New Roman" w:hAnsi="Times New Roman" w:cs="Times New Roman"/>
          <w:vertAlign w:val="superscript"/>
        </w:rPr>
        <w:t>2</w:t>
      </w:r>
      <w:r>
        <w:rPr>
          <w:rFonts w:ascii="Times New Roman" w:eastAsia="Times New Roman" w:hAnsi="Times New Roman" w:cs="Times New Roman"/>
        </w:rPr>
        <w:t>, Torgeir R. Hvidsten</w:t>
      </w:r>
      <w:r>
        <w:rPr>
          <w:rFonts w:ascii="Times New Roman" w:eastAsia="Times New Roman" w:hAnsi="Times New Roman" w:cs="Times New Roman"/>
          <w:vertAlign w:val="superscript"/>
        </w:rPr>
        <w:t>3,4</w:t>
      </w:r>
      <w:r>
        <w:rPr>
          <w:rFonts w:ascii="Times New Roman" w:eastAsia="Times New Roman" w:hAnsi="Times New Roman" w:cs="Times New Roman"/>
        </w:rPr>
        <w:t>, Sigbjørn Lien</w:t>
      </w:r>
      <w:r>
        <w:rPr>
          <w:rFonts w:ascii="Times New Roman" w:eastAsia="Times New Roman" w:hAnsi="Times New Roman" w:cs="Times New Roman"/>
          <w:vertAlign w:val="superscript"/>
        </w:rPr>
        <w:t>2</w:t>
      </w:r>
      <w:r>
        <w:rPr>
          <w:rFonts w:ascii="Times New Roman" w:eastAsia="Times New Roman" w:hAnsi="Times New Roman" w:cs="Times New Roman"/>
        </w:rPr>
        <w:t>, Leif Asbjørn Vøllestad</w:t>
      </w:r>
      <w:r>
        <w:rPr>
          <w:rFonts w:ascii="Times New Roman" w:eastAsia="Times New Roman" w:hAnsi="Times New Roman" w:cs="Times New Roman"/>
          <w:vertAlign w:val="superscript"/>
        </w:rPr>
        <w:t>1</w:t>
      </w:r>
      <w:r>
        <w:rPr>
          <w:rFonts w:ascii="Times New Roman" w:eastAsia="Times New Roman" w:hAnsi="Times New Roman" w:cs="Times New Roman"/>
        </w:rPr>
        <w:t>, Sissel Jentoft</w:t>
      </w:r>
      <w:r>
        <w:rPr>
          <w:rFonts w:ascii="Times New Roman" w:eastAsia="Times New Roman" w:hAnsi="Times New Roman" w:cs="Times New Roman"/>
          <w:vertAlign w:val="superscript"/>
        </w:rPr>
        <w:t>1</w:t>
      </w:r>
      <w:r>
        <w:rPr>
          <w:rFonts w:ascii="Times New Roman" w:eastAsia="Times New Roman" w:hAnsi="Times New Roman" w:cs="Times New Roman"/>
        </w:rPr>
        <w:t>, Alexander J. Nederbragt</w:t>
      </w:r>
      <w:r>
        <w:rPr>
          <w:rFonts w:ascii="Times New Roman" w:eastAsia="Times New Roman" w:hAnsi="Times New Roman" w:cs="Times New Roman"/>
          <w:vertAlign w:val="superscript"/>
        </w:rPr>
        <w:t>1,5</w:t>
      </w:r>
      <w:r>
        <w:rPr>
          <w:rFonts w:ascii="Times New Roman" w:eastAsia="Times New Roman" w:hAnsi="Times New Roman" w:cs="Times New Roman"/>
        </w:rPr>
        <w:t xml:space="preserve"> and Kjetill S. Jakobsen</w:t>
      </w:r>
      <w:r>
        <w:rPr>
          <w:rFonts w:ascii="Times New Roman" w:eastAsia="Times New Roman" w:hAnsi="Times New Roman" w:cs="Times New Roman"/>
          <w:vertAlign w:val="superscript"/>
        </w:rPr>
        <w:t>1</w:t>
      </w:r>
      <w:r>
        <w:rPr>
          <w:rFonts w:ascii="Times New Roman" w:eastAsia="Times New Roman" w:hAnsi="Times New Roman" w:cs="Times New Roman"/>
        </w:rPr>
        <w:t>§</w:t>
      </w:r>
    </w:p>
    <w:p w:rsidR="00E94025" w:rsidRDefault="00E94025">
      <w:pPr>
        <w:pBdr>
          <w:top w:val="nil"/>
          <w:left w:val="nil"/>
          <w:bottom w:val="nil"/>
          <w:right w:val="nil"/>
          <w:between w:val="nil"/>
        </w:pBdr>
        <w:spacing w:line="360" w:lineRule="auto"/>
        <w:jc w:val="both"/>
        <w:rPr>
          <w:rFonts w:ascii="Times New Roman" w:eastAsia="Times New Roman" w:hAnsi="Times New Roman" w:cs="Times New Roman"/>
          <w:sz w:val="20"/>
          <w:szCs w:val="20"/>
        </w:rPr>
      </w:pPr>
    </w:p>
    <w:p w:rsidR="00E94025" w:rsidRDefault="00571EC0">
      <w:pPr>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Centre for Ecological and Evolutionary Synthesis (CEES), Department of Biosciences, University of Oslo, Oslo NO-0316, Norway</w:t>
      </w:r>
    </w:p>
    <w:p w:rsidR="00E94025" w:rsidRDefault="00571EC0">
      <w:pPr>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vertAlign w:val="superscript"/>
        </w:rPr>
        <w:t>2</w:t>
      </w:r>
      <w:r>
        <w:rPr>
          <w:rFonts w:ascii="Times New Roman" w:eastAsia="Times New Roman" w:hAnsi="Times New Roman" w:cs="Times New Roman"/>
          <w:sz w:val="20"/>
          <w:szCs w:val="20"/>
        </w:rPr>
        <w:t>Centre for Integrative Genetics</w:t>
      </w:r>
      <w:r>
        <w:rPr>
          <w:rFonts w:ascii="Times New Roman" w:eastAsia="Times New Roman" w:hAnsi="Times New Roman" w:cs="Times New Roman"/>
          <w:sz w:val="20"/>
          <w:szCs w:val="20"/>
        </w:rPr>
        <w:t xml:space="preserve"> (CIGENE), Department of Animal and Aquacultural Sciences, Norwegian University of Life Sciences, Ås NO-1432, Norway</w:t>
      </w:r>
    </w:p>
    <w:p w:rsidR="00E94025" w:rsidRDefault="00571EC0">
      <w:pPr>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Faculty of Chemistry, Biotechnology and Food Science, Norwegian University of Life Sciences, Ås NO-1432, Norway</w:t>
      </w:r>
    </w:p>
    <w:p w:rsidR="00E94025" w:rsidRDefault="00571EC0">
      <w:pPr>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 xml:space="preserve">4 </w:t>
      </w:r>
      <w:r>
        <w:rPr>
          <w:rFonts w:ascii="Times New Roman" w:eastAsia="Times New Roman" w:hAnsi="Times New Roman" w:cs="Times New Roman"/>
          <w:sz w:val="20"/>
          <w:szCs w:val="20"/>
        </w:rPr>
        <w:t>Umeå Plant Science Cent</w:t>
      </w:r>
      <w:r>
        <w:rPr>
          <w:rFonts w:ascii="Times New Roman" w:eastAsia="Times New Roman" w:hAnsi="Times New Roman" w:cs="Times New Roman"/>
          <w:sz w:val="20"/>
          <w:szCs w:val="20"/>
        </w:rPr>
        <w:t>re, Department of Plant Physiology, Umeå University, Umeå, Sweden</w:t>
      </w:r>
    </w:p>
    <w:p w:rsidR="00E94025" w:rsidRDefault="00571EC0">
      <w:pPr>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vertAlign w:val="superscript"/>
        </w:rPr>
        <w:t>5</w:t>
      </w:r>
      <w:r>
        <w:rPr>
          <w:rFonts w:ascii="Times New Roman" w:eastAsia="Times New Roman" w:hAnsi="Times New Roman" w:cs="Times New Roman"/>
          <w:sz w:val="20"/>
          <w:szCs w:val="20"/>
        </w:rPr>
        <w:t>Biomedical Informatics Research Group, Department of Informatics, University of Oslo, Oslo NO-0316, Norway</w:t>
      </w:r>
    </w:p>
    <w:p w:rsidR="00E94025" w:rsidRDefault="00571EC0">
      <w:pPr>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authors contributed equally to this work.</w:t>
      </w:r>
    </w:p>
    <w:p w:rsidR="00E94025" w:rsidRDefault="00571EC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0"/>
          <w:szCs w:val="20"/>
        </w:rPr>
        <w:t>§</w:t>
      </w:r>
      <w:r>
        <w:rPr>
          <w:rFonts w:ascii="Times New Roman" w:eastAsia="Times New Roman" w:hAnsi="Times New Roman" w:cs="Times New Roman"/>
          <w:color w:val="2A2A2A"/>
          <w:sz w:val="20"/>
          <w:szCs w:val="20"/>
          <w:highlight w:val="white"/>
        </w:rPr>
        <w:t>Authors for Correspondence:</w:t>
      </w:r>
      <w:r>
        <w:rPr>
          <w:rFonts w:ascii="Times New Roman" w:eastAsia="Times New Roman" w:hAnsi="Times New Roman" w:cs="Times New Roman"/>
          <w:sz w:val="20"/>
          <w:szCs w:val="20"/>
        </w:rPr>
        <w:t xml:space="preserve"> Kjetill S. Jakobsen (</w:t>
      </w:r>
      <w:hyperlink r:id="rId6">
        <w:r>
          <w:rPr>
            <w:rFonts w:ascii="Times New Roman" w:eastAsia="Times New Roman" w:hAnsi="Times New Roman" w:cs="Times New Roman"/>
            <w:color w:val="1155CC"/>
            <w:u w:val="single"/>
          </w:rPr>
          <w:t>k.s.jakobsen@ibv.uio.no)</w:t>
        </w:r>
      </w:hyperlink>
      <w:r>
        <w:rPr>
          <w:rFonts w:ascii="Times New Roman" w:eastAsia="Times New Roman" w:hAnsi="Times New Roman" w:cs="Times New Roman"/>
        </w:rPr>
        <w:t xml:space="preserve"> </w:t>
      </w:r>
      <w:r>
        <w:rPr>
          <w:rFonts w:ascii="Times New Roman" w:eastAsia="Times New Roman" w:hAnsi="Times New Roman" w:cs="Times New Roman"/>
          <w:sz w:val="20"/>
          <w:szCs w:val="20"/>
        </w:rPr>
        <w:t>and Simen R. Sandve (</w:t>
      </w:r>
      <w:hyperlink r:id="rId7">
        <w:r>
          <w:rPr>
            <w:rFonts w:ascii="Times New Roman" w:eastAsia="Times New Roman" w:hAnsi="Times New Roman" w:cs="Times New Roman"/>
            <w:color w:val="1155CC"/>
            <w:u w:val="single"/>
          </w:rPr>
          <w:t>simen.sandve@nmbu.no</w:t>
        </w:r>
      </w:hyperlink>
      <w:r>
        <w:rPr>
          <w:rFonts w:ascii="Times New Roman" w:eastAsia="Times New Roman" w:hAnsi="Times New Roman" w:cs="Times New Roman"/>
        </w:rPr>
        <w:t>)</w:t>
      </w:r>
    </w:p>
    <w:p w:rsidR="00E94025" w:rsidRDefault="00E94025">
      <w:pPr>
        <w:rPr>
          <w:rFonts w:ascii="Times New Roman" w:eastAsia="Times New Roman" w:hAnsi="Times New Roman" w:cs="Times New Roman"/>
          <w:highlight w:val="yellow"/>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E94025">
      <w:pPr>
        <w:spacing w:line="360" w:lineRule="auto"/>
        <w:rPr>
          <w:rFonts w:ascii="Times New Roman" w:eastAsia="Times New Roman" w:hAnsi="Times New Roman" w:cs="Times New Roman"/>
          <w:b/>
          <w:sz w:val="28"/>
          <w:szCs w:val="28"/>
        </w:rPr>
      </w:pPr>
    </w:p>
    <w:p w:rsidR="00E94025" w:rsidRDefault="00571EC0" w:rsidP="00600B13">
      <w:pPr>
        <w:spacing w:line="36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Whole genome duplication (WGD) has been a major evolutionary driver of increased genomic complexity in vertebrates. One such event occurred in the salmonid family ~80 million years ago (Ss4R) giving rise to a plethora of structural and regulatory duplicate</w:t>
      </w:r>
      <w:r>
        <w:rPr>
          <w:rFonts w:ascii="Times New Roman" w:eastAsia="Times New Roman" w:hAnsi="Times New Roman" w:cs="Times New Roman"/>
          <w:sz w:val="24"/>
          <w:szCs w:val="24"/>
        </w:rPr>
        <w:t>-driven divergence, making salmonids an exemplary system to investigate the evolutionary consequences of WGD. Here, we present a draft genome assembly of European grayling (</w:t>
      </w:r>
      <w:r>
        <w:rPr>
          <w:rFonts w:ascii="Times New Roman" w:eastAsia="Times New Roman" w:hAnsi="Times New Roman" w:cs="Times New Roman"/>
          <w:i/>
          <w:sz w:val="24"/>
          <w:szCs w:val="24"/>
        </w:rPr>
        <w:t>Thymallus thymallus</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and use this in a comparative framework to study evolution of gene regulation following WGD. Among the Ss4R duplicates identified in European grayling and Atlantic salmon (</w:t>
      </w:r>
      <w:r>
        <w:rPr>
          <w:rFonts w:ascii="Times New Roman" w:eastAsia="Times New Roman" w:hAnsi="Times New Roman" w:cs="Times New Roman"/>
          <w:i/>
          <w:sz w:val="24"/>
          <w:szCs w:val="24"/>
        </w:rPr>
        <w:t>Salmo salar</w:t>
      </w:r>
      <w:r>
        <w:rPr>
          <w:rFonts w:ascii="Times New Roman" w:eastAsia="Times New Roman" w:hAnsi="Times New Roman" w:cs="Times New Roman"/>
          <w:sz w:val="24"/>
          <w:szCs w:val="24"/>
        </w:rPr>
        <w:t>), one third reflect non-neutral tissue expression evolution, with stron</w:t>
      </w:r>
      <w:r>
        <w:rPr>
          <w:rFonts w:ascii="Times New Roman" w:eastAsia="Times New Roman" w:hAnsi="Times New Roman" w:cs="Times New Roman"/>
          <w:sz w:val="24"/>
          <w:szCs w:val="24"/>
        </w:rPr>
        <w:t>g purifying selection, maintained over ~50 million years. Of these, the majority reflect conserved tissue regulation under strong selective constraints related to brain and neural-related functions, as well as higher-order protein-protein interactions. A s</w:t>
      </w:r>
      <w:r>
        <w:rPr>
          <w:rFonts w:ascii="Times New Roman" w:eastAsia="Times New Roman" w:hAnsi="Times New Roman" w:cs="Times New Roman"/>
          <w:sz w:val="24"/>
          <w:szCs w:val="24"/>
        </w:rPr>
        <w:t>mall subset</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of the duplicates has evolved tissue regulatory expression divergence in a common ancestor, which have been subsequently conserved in both lineages, suggestive of adaptive divergence following WGD. These candidates for adaptive tissue expressio</w:t>
      </w:r>
      <w:r>
        <w:rPr>
          <w:rFonts w:ascii="Times New Roman" w:eastAsia="Times New Roman" w:hAnsi="Times New Roman" w:cs="Times New Roman"/>
          <w:sz w:val="24"/>
          <w:szCs w:val="24"/>
        </w:rPr>
        <w:t xml:space="preserve">n divergence have elevated rates of protein coding- and promoter-sequence evolution and are enriched for immune- and lipid metabolism ontology terms. Lastly, lineage-specific duplicate divergence points towards underlying differences in adaptive pressures </w:t>
      </w:r>
      <w:r>
        <w:rPr>
          <w:rFonts w:ascii="Times New Roman" w:eastAsia="Times New Roman" w:hAnsi="Times New Roman" w:cs="Times New Roman"/>
          <w:sz w:val="24"/>
          <w:szCs w:val="24"/>
        </w:rPr>
        <w:t>on expression regulation in the non-anadromous grayling versus the anadromous Atlantic salmon.</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findings enhance our understanding of the role of WGD in genome evolution and highlights cases of regulatory divergence of Ss4R duplicates, possibly related </w:t>
      </w:r>
      <w:r>
        <w:rPr>
          <w:rFonts w:ascii="Times New Roman" w:eastAsia="Times New Roman" w:hAnsi="Times New Roman" w:cs="Times New Roman"/>
          <w:sz w:val="24"/>
          <w:szCs w:val="24"/>
        </w:rPr>
        <w:t>to a niche shift in early salmonid evolution.</w:t>
      </w:r>
    </w:p>
    <w:p w:rsidR="00E94025" w:rsidRDefault="00E94025">
      <w:pPr>
        <w:spacing w:line="360" w:lineRule="auto"/>
        <w:jc w:val="both"/>
        <w:rPr>
          <w:rFonts w:ascii="Times New Roman" w:eastAsia="Times New Roman" w:hAnsi="Times New Roman" w:cs="Times New Roman"/>
          <w:b/>
          <w:sz w:val="28"/>
          <w:szCs w:val="28"/>
        </w:rPr>
      </w:pPr>
    </w:p>
    <w:p w:rsidR="00E94025" w:rsidRDefault="00571EC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Thymallus thymallus,</w:t>
      </w:r>
      <w:r>
        <w:rPr>
          <w:rFonts w:ascii="Times New Roman" w:eastAsia="Times New Roman" w:hAnsi="Times New Roman" w:cs="Times New Roman"/>
          <w:sz w:val="24"/>
          <w:szCs w:val="24"/>
        </w:rPr>
        <w:t xml:space="preserve"> genome assembly, salmonid, WGD, rediploidization, lineage-specific ohnolog resolution</w:t>
      </w:r>
      <w:r>
        <w:rPr>
          <w:rFonts w:ascii="Times New Roman" w:eastAsia="Times New Roman" w:hAnsi="Times New Roman" w:cs="Times New Roman"/>
          <w:b/>
          <w:sz w:val="24"/>
          <w:szCs w:val="24"/>
        </w:rPr>
        <w:t>.</w:t>
      </w:r>
    </w:p>
    <w:p w:rsidR="00E94025" w:rsidRDefault="00E94025">
      <w:pPr>
        <w:spacing w:line="360" w:lineRule="auto"/>
        <w:jc w:val="both"/>
        <w:rPr>
          <w:rFonts w:ascii="Times New Roman" w:eastAsia="Times New Roman" w:hAnsi="Times New Roman" w:cs="Times New Roman"/>
          <w:sz w:val="24"/>
          <w:szCs w:val="24"/>
        </w:rPr>
      </w:pPr>
    </w:p>
    <w:p w:rsidR="00E94025" w:rsidRDefault="00E94025">
      <w:pPr>
        <w:spacing w:line="360" w:lineRule="auto"/>
        <w:jc w:val="both"/>
        <w:rPr>
          <w:rFonts w:ascii="Times New Roman" w:eastAsia="Times New Roman" w:hAnsi="Times New Roman" w:cs="Times New Roman"/>
          <w:b/>
          <w:sz w:val="28"/>
          <w:szCs w:val="28"/>
        </w:rPr>
      </w:pPr>
    </w:p>
    <w:p w:rsidR="00E94025" w:rsidRDefault="00E94025">
      <w:pPr>
        <w:spacing w:line="360" w:lineRule="auto"/>
        <w:jc w:val="both"/>
        <w:rPr>
          <w:rFonts w:ascii="Times New Roman" w:eastAsia="Times New Roman" w:hAnsi="Times New Roman" w:cs="Times New Roman"/>
          <w:b/>
          <w:sz w:val="28"/>
          <w:szCs w:val="28"/>
        </w:rPr>
      </w:pPr>
    </w:p>
    <w:p w:rsidR="00E94025" w:rsidRDefault="00E94025">
      <w:pPr>
        <w:spacing w:line="360" w:lineRule="auto"/>
        <w:jc w:val="both"/>
        <w:rPr>
          <w:rFonts w:ascii="Times New Roman" w:eastAsia="Times New Roman" w:hAnsi="Times New Roman" w:cs="Times New Roman"/>
          <w:b/>
          <w:sz w:val="28"/>
          <w:szCs w:val="28"/>
        </w:rPr>
      </w:pPr>
    </w:p>
    <w:p w:rsidR="00E94025" w:rsidRDefault="00E94025">
      <w:pPr>
        <w:spacing w:line="360" w:lineRule="auto"/>
        <w:jc w:val="both"/>
        <w:rPr>
          <w:rFonts w:ascii="Times New Roman" w:eastAsia="Times New Roman" w:hAnsi="Times New Roman" w:cs="Times New Roman"/>
          <w:b/>
          <w:sz w:val="28"/>
          <w:szCs w:val="28"/>
        </w:rPr>
      </w:pPr>
    </w:p>
    <w:p w:rsidR="00E94025" w:rsidRDefault="00571EC0" w:rsidP="00600B13">
      <w:pP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Whole genome duplication (WGD) through spontaneous doubling of all chromo</w:t>
      </w:r>
      <w:r>
        <w:rPr>
          <w:rFonts w:ascii="Times New Roman" w:eastAsia="Times New Roman" w:hAnsi="Times New Roman" w:cs="Times New Roman"/>
          <w:sz w:val="24"/>
          <w:szCs w:val="24"/>
        </w:rPr>
        <w:t xml:space="preserve">somes (autopolyploidization) has played a vital role in the evolution of vertebrate genome complexity </w:t>
      </w:r>
      <w:hyperlink r:id="rId8">
        <w:r>
          <w:rPr>
            <w:rFonts w:ascii="Times New Roman" w:eastAsia="Times New Roman" w:hAnsi="Times New Roman" w:cs="Times New Roman"/>
            <w:color w:val="1155CC"/>
            <w:sz w:val="24"/>
            <w:szCs w:val="24"/>
            <w:u w:val="single"/>
          </w:rPr>
          <w:t>(Van de Peer et al. 2009)</w:t>
        </w:r>
      </w:hyperlink>
      <w:r>
        <w:rPr>
          <w:rFonts w:ascii="Times New Roman" w:eastAsia="Times New Roman" w:hAnsi="Times New Roman" w:cs="Times New Roman"/>
          <w:sz w:val="24"/>
          <w:szCs w:val="24"/>
        </w:rPr>
        <w:t xml:space="preserve">. However, the role of selection in shaping novel </w:t>
      </w:r>
      <w:r>
        <w:rPr>
          <w:rFonts w:ascii="Times New Roman" w:eastAsia="Times New Roman" w:hAnsi="Times New Roman" w:cs="Times New Roman"/>
          <w:sz w:val="24"/>
          <w:szCs w:val="24"/>
        </w:rPr>
        <w:lastRenderedPageBreak/>
        <w:t>adaptations from the red</w:t>
      </w:r>
      <w:r>
        <w:rPr>
          <w:rFonts w:ascii="Times New Roman" w:eastAsia="Times New Roman" w:hAnsi="Times New Roman" w:cs="Times New Roman"/>
          <w:sz w:val="24"/>
          <w:szCs w:val="24"/>
        </w:rPr>
        <w:t xml:space="preserve">undancy that arises from WGD is not well understood. The idea that functional redundancy arising from gene duplication sparks evolution of novel traits and adaptations was pioneered by Susumu Ohno </w:t>
      </w:r>
      <w:hyperlink r:id="rId9">
        <w:r>
          <w:rPr>
            <w:rFonts w:ascii="Times New Roman" w:eastAsia="Times New Roman" w:hAnsi="Times New Roman" w:cs="Times New Roman"/>
            <w:color w:val="1155CC"/>
            <w:sz w:val="24"/>
            <w:szCs w:val="24"/>
            <w:u w:val="single"/>
          </w:rPr>
          <w:t>(Oh</w:t>
        </w:r>
        <w:r>
          <w:rPr>
            <w:rFonts w:ascii="Times New Roman" w:eastAsia="Times New Roman" w:hAnsi="Times New Roman" w:cs="Times New Roman"/>
            <w:color w:val="1155CC"/>
            <w:sz w:val="24"/>
            <w:szCs w:val="24"/>
            <w:u w:val="single"/>
          </w:rPr>
          <w:t>no 1970)</w:t>
        </w:r>
      </w:hyperlink>
      <w:r>
        <w:rPr>
          <w:rFonts w:ascii="Times New Roman" w:eastAsia="Times New Roman" w:hAnsi="Times New Roman" w:cs="Times New Roman"/>
          <w:sz w:val="24"/>
          <w:szCs w:val="24"/>
        </w:rPr>
        <w:t xml:space="preserve">. Duplicate genes that escape loss or pseudogenization are known to acquire novel regulation and expression divergence </w:t>
      </w:r>
      <w:hyperlink r:id="rId10">
        <w:r>
          <w:rPr>
            <w:rFonts w:ascii="Times New Roman" w:eastAsia="Times New Roman" w:hAnsi="Times New Roman" w:cs="Times New Roman"/>
            <w:color w:val="1155CC"/>
            <w:sz w:val="24"/>
            <w:szCs w:val="24"/>
            <w:u w:val="single"/>
          </w:rPr>
          <w:t>(Lynch and Conery 2000; Zhang 2003; Conant and Wolfe 2008)</w:t>
        </w:r>
      </w:hyperlink>
      <w:r>
        <w:rPr>
          <w:rFonts w:ascii="Times New Roman" w:eastAsia="Times New Roman" w:hAnsi="Times New Roman" w:cs="Times New Roman"/>
          <w:sz w:val="24"/>
          <w:szCs w:val="24"/>
        </w:rPr>
        <w:t>. Func</w:t>
      </w:r>
      <w:r>
        <w:rPr>
          <w:rFonts w:ascii="Times New Roman" w:eastAsia="Times New Roman" w:hAnsi="Times New Roman" w:cs="Times New Roman"/>
          <w:sz w:val="24"/>
          <w:szCs w:val="24"/>
        </w:rPr>
        <w:t xml:space="preserve">tional genomic studies over the past decade have demonstrated that large-scale duplications lead to the rewiring of regulatory networks through divergence of spatial and temporal expression patterns </w:t>
      </w:r>
      <w:hyperlink r:id="rId11">
        <w:r>
          <w:rPr>
            <w:rFonts w:ascii="Times New Roman" w:eastAsia="Times New Roman" w:hAnsi="Times New Roman" w:cs="Times New Roman"/>
            <w:color w:val="1155CC"/>
            <w:sz w:val="24"/>
            <w:szCs w:val="24"/>
            <w:u w:val="single"/>
          </w:rPr>
          <w:t xml:space="preserve">(Osborn et al. 2003; </w:t>
        </w:r>
      </w:hyperlink>
      <w:hyperlink r:id="rId12">
        <w:r>
          <w:rPr>
            <w:rFonts w:ascii="Times New Roman" w:eastAsia="Times New Roman" w:hAnsi="Times New Roman" w:cs="Times New Roman"/>
            <w:color w:val="1155CC"/>
            <w:sz w:val="24"/>
            <w:szCs w:val="24"/>
            <w:highlight w:val="yellow"/>
            <w:u w:val="single"/>
          </w:rPr>
          <w:t>De Smet et al. 2017</w:t>
        </w:r>
      </w:hyperlink>
      <w:hyperlink r:id="rId13">
        <w:r>
          <w:rPr>
            <w:rFonts w:ascii="Times New Roman" w:eastAsia="Times New Roman" w:hAnsi="Times New Roman" w:cs="Times New Roman"/>
            <w:color w:val="1155CC"/>
            <w:sz w:val="24"/>
            <w:szCs w:val="24"/>
            <w:u w:val="single"/>
          </w:rPr>
          <w:t>)</w:t>
        </w:r>
      </w:hyperlink>
      <w:r>
        <w:rPr>
          <w:rFonts w:ascii="Times New Roman" w:eastAsia="Times New Roman" w:hAnsi="Times New Roman" w:cs="Times New Roman"/>
          <w:sz w:val="24"/>
          <w:szCs w:val="24"/>
        </w:rPr>
        <w:t xml:space="preserve">. As changes in gene regulation are known to be important in the evolution </w:t>
      </w:r>
      <w:r>
        <w:rPr>
          <w:rFonts w:ascii="Times New Roman" w:eastAsia="Times New Roman" w:hAnsi="Times New Roman" w:cs="Times New Roman"/>
          <w:sz w:val="24"/>
          <w:szCs w:val="24"/>
        </w:rPr>
        <w:t xml:space="preserve">of phenotypic diversity and complex trait variation </w:t>
      </w:r>
      <w:hyperlink r:id="rId14">
        <w:r>
          <w:rPr>
            <w:rFonts w:ascii="Times New Roman" w:eastAsia="Times New Roman" w:hAnsi="Times New Roman" w:cs="Times New Roman"/>
            <w:color w:val="1155CC"/>
            <w:sz w:val="24"/>
            <w:szCs w:val="24"/>
            <w:u w:val="single"/>
          </w:rPr>
          <w:t>(Carroll 2000; Wray 2003)</w:t>
        </w:r>
      </w:hyperlink>
      <w:r>
        <w:rPr>
          <w:rFonts w:ascii="Times New Roman" w:eastAsia="Times New Roman" w:hAnsi="Times New Roman" w:cs="Times New Roman"/>
          <w:sz w:val="24"/>
          <w:szCs w:val="24"/>
        </w:rPr>
        <w:t>, these post-WGD shifts in expression regulation may provide a substrate for adaptive evolution.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Several studies have i</w:t>
      </w:r>
      <w:r>
        <w:rPr>
          <w:rFonts w:ascii="Times New Roman" w:eastAsia="Times New Roman" w:hAnsi="Times New Roman" w:cs="Times New Roman"/>
          <w:sz w:val="24"/>
          <w:szCs w:val="24"/>
        </w:rPr>
        <w:t xml:space="preserve">nvestigated the genome-wide consequences of WGD on gene expression evolution in vertebrates (e.g. </w:t>
      </w:r>
      <w:hyperlink r:id="rId15">
        <w:r>
          <w:rPr>
            <w:rFonts w:ascii="Times New Roman" w:eastAsia="Times New Roman" w:hAnsi="Times New Roman" w:cs="Times New Roman"/>
            <w:color w:val="1155CC"/>
            <w:sz w:val="24"/>
            <w:szCs w:val="24"/>
            <w:u w:val="single"/>
          </w:rPr>
          <w:t xml:space="preserve">(Sémon and Wolfe 2008; Kassahn et al. 2009; Berthelot et al. 2014; Li et </w:t>
        </w:r>
        <w:r>
          <w:rPr>
            <w:rFonts w:ascii="Times New Roman" w:eastAsia="Times New Roman" w:hAnsi="Times New Roman" w:cs="Times New Roman"/>
            <w:color w:val="1155CC"/>
            <w:sz w:val="24"/>
            <w:szCs w:val="24"/>
            <w:u w:val="single"/>
          </w:rPr>
          <w:t>al. 2015; Acharya and Ghosh 2016; Lien et al. 2016; Robertson et al. 2017)</w:t>
        </w:r>
      </w:hyperlink>
      <w:r>
        <w:rPr>
          <w:rFonts w:ascii="Times New Roman" w:eastAsia="Times New Roman" w:hAnsi="Times New Roman" w:cs="Times New Roman"/>
          <w:sz w:val="24"/>
          <w:szCs w:val="24"/>
        </w:rPr>
        <w:t xml:space="preserve"> and have revealed that a large proportion of gene duplicates have evolved substantial regulatory divergence of which, in most cases, one copy retains ancestral-like regulation (cons</w:t>
      </w:r>
      <w:r>
        <w:rPr>
          <w:rFonts w:ascii="Times New Roman" w:eastAsia="Times New Roman" w:hAnsi="Times New Roman" w:cs="Times New Roman"/>
          <w:sz w:val="24"/>
          <w:szCs w:val="24"/>
        </w:rPr>
        <w:t>istent with Ohno’s model of regulatory neofunctionalization). However, to what extent this divergence in expression is linked to adaptation remains to be understood. A major factor contributing to this knowledge gap is the lack of studies that integrate ex</w:t>
      </w:r>
      <w:r>
        <w:rPr>
          <w:rFonts w:ascii="Times New Roman" w:eastAsia="Times New Roman" w:hAnsi="Times New Roman" w:cs="Times New Roman"/>
          <w:sz w:val="24"/>
          <w:szCs w:val="24"/>
        </w:rPr>
        <w:t xml:space="preserve">pression data from multiple species sharing the same WGD </w:t>
      </w:r>
      <w:hyperlink r:id="rId16">
        <w:r>
          <w:rPr>
            <w:rFonts w:ascii="Times New Roman" w:eastAsia="Times New Roman" w:hAnsi="Times New Roman" w:cs="Times New Roman"/>
            <w:color w:val="1155CC"/>
            <w:sz w:val="24"/>
            <w:szCs w:val="24"/>
            <w:u w:val="single"/>
          </w:rPr>
          <w:t>(Hermansen et al. 2016)</w:t>
        </w:r>
      </w:hyperlink>
      <w:r>
        <w:rPr>
          <w:rFonts w:ascii="Times New Roman" w:eastAsia="Times New Roman" w:hAnsi="Times New Roman" w:cs="Times New Roman"/>
          <w:sz w:val="24"/>
          <w:szCs w:val="24"/>
        </w:rPr>
        <w:t>. Such studies would allow us to distinguish neutral evolutionary divergence in regulation from regulatory changes repres</w:t>
      </w:r>
      <w:r>
        <w:rPr>
          <w:rFonts w:ascii="Times New Roman" w:eastAsia="Times New Roman" w:hAnsi="Times New Roman" w:cs="Times New Roman"/>
          <w:sz w:val="24"/>
          <w:szCs w:val="24"/>
        </w:rPr>
        <w:t xml:space="preserve">enting adaptive divergence and those maintained by purifying selection. </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Salmonids have emerged as a model for studying consequences of autopolyploidization in vertebrates, owing to their relatively young WGD event (Ss4R, &lt;100MYA) </w:t>
      </w:r>
      <w:hyperlink r:id="rId17">
        <w:r>
          <w:rPr>
            <w:rFonts w:ascii="Times New Roman" w:eastAsia="Times New Roman" w:hAnsi="Times New Roman" w:cs="Times New Roman"/>
            <w:color w:val="1155CC"/>
            <w:sz w:val="24"/>
            <w:szCs w:val="24"/>
            <w:u w:val="single"/>
          </w:rPr>
          <w:t>(Ohno 1970; Alexandrou et al. 2013)</w:t>
        </w:r>
      </w:hyperlink>
      <w:r>
        <w:rPr>
          <w:rFonts w:ascii="Times New Roman" w:eastAsia="Times New Roman" w:hAnsi="Times New Roman" w:cs="Times New Roman"/>
          <w:sz w:val="24"/>
          <w:szCs w:val="24"/>
        </w:rPr>
        <w:t xml:space="preserve"> and ongoing rediploidization </w:t>
      </w:r>
      <w:hyperlink r:id="rId18">
        <w:r>
          <w:rPr>
            <w:rFonts w:ascii="Times New Roman" w:eastAsia="Times New Roman" w:hAnsi="Times New Roman" w:cs="Times New Roman"/>
            <w:color w:val="1155CC"/>
            <w:sz w:val="24"/>
            <w:szCs w:val="24"/>
            <w:u w:val="single"/>
          </w:rPr>
          <w:t>(Macqueen and Johnston 2014; Limborg et al. 2016; Lien et al. 2016; Robertson et al.</w:t>
        </w:r>
        <w:r>
          <w:rPr>
            <w:rFonts w:ascii="Times New Roman" w:eastAsia="Times New Roman" w:hAnsi="Times New Roman" w:cs="Times New Roman"/>
            <w:color w:val="1155CC"/>
            <w:sz w:val="24"/>
            <w:szCs w:val="24"/>
            <w:u w:val="single"/>
          </w:rPr>
          <w:t xml:space="preserve"> 2017)</w:t>
        </w:r>
      </w:hyperlink>
      <w:r>
        <w:rPr>
          <w:rFonts w:ascii="Times New Roman" w:eastAsia="Times New Roman" w:hAnsi="Times New Roman" w:cs="Times New Roman"/>
          <w:sz w:val="24"/>
          <w:szCs w:val="24"/>
        </w:rPr>
        <w:t>. Directly following autopolyploidization, duplicated chromosomes pair randomly with any of their homologous counterparts resulting in an increased risk of formation of multivalents and consequently production of non-viable aneuploid gametes. Restori</w:t>
      </w:r>
      <w:r>
        <w:rPr>
          <w:rFonts w:ascii="Times New Roman" w:eastAsia="Times New Roman" w:hAnsi="Times New Roman" w:cs="Times New Roman"/>
          <w:sz w:val="24"/>
          <w:szCs w:val="24"/>
        </w:rPr>
        <w:t xml:space="preserve">ng bivalent chromosome pairing is therefore a critical step towards a functional genome post-WGD </w:t>
      </w:r>
      <w:hyperlink r:id="rId19">
        <w:r>
          <w:rPr>
            <w:rFonts w:ascii="Times New Roman" w:eastAsia="Times New Roman" w:hAnsi="Times New Roman" w:cs="Times New Roman"/>
            <w:color w:val="1155CC"/>
            <w:sz w:val="24"/>
            <w:szCs w:val="24"/>
            <w:u w:val="single"/>
          </w:rPr>
          <w:t>(Wolfe 2001)</w:t>
        </w:r>
      </w:hyperlink>
      <w:r>
        <w:rPr>
          <w:rFonts w:ascii="Times New Roman" w:eastAsia="Times New Roman" w:hAnsi="Times New Roman" w:cs="Times New Roman"/>
          <w:sz w:val="24"/>
          <w:szCs w:val="24"/>
        </w:rPr>
        <w:t xml:space="preserve">. This can be achieved through e.g. structural rearrangements that suppress recombination, </w:t>
      </w:r>
      <w:r>
        <w:rPr>
          <w:rFonts w:ascii="Times New Roman" w:eastAsia="Times New Roman" w:hAnsi="Times New Roman" w:cs="Times New Roman"/>
          <w:sz w:val="24"/>
          <w:szCs w:val="24"/>
        </w:rPr>
        <w:t xml:space="preserve">block multivalent formation, and drive the process of returning to a functional diploid state (i.e. rediploidization). Since the mutational process is stochastic, rediploidization occurs independently for different chromosomes. As a result, the divergence </w:t>
      </w:r>
      <w:r>
        <w:rPr>
          <w:rFonts w:ascii="Times New Roman" w:eastAsia="Times New Roman" w:hAnsi="Times New Roman" w:cs="Times New Roman"/>
          <w:sz w:val="24"/>
          <w:szCs w:val="24"/>
        </w:rPr>
        <w:t xml:space="preserve">of gene duplicates resulting from WGD (referred to as ohnologs) is also achieved independently for different </w:t>
      </w:r>
      <w:r>
        <w:rPr>
          <w:rFonts w:ascii="Times New Roman" w:eastAsia="Times New Roman" w:hAnsi="Times New Roman" w:cs="Times New Roman"/>
          <w:sz w:val="24"/>
          <w:szCs w:val="24"/>
        </w:rPr>
        <w:lastRenderedPageBreak/>
        <w:t>chromosomes and hence occurs at different rates in various genomic regions. Recent studies on genome evolution subsequent to Ss4R have shown that t</w:t>
      </w:r>
      <w:r>
        <w:rPr>
          <w:rFonts w:ascii="Times New Roman" w:eastAsia="Times New Roman" w:hAnsi="Times New Roman" w:cs="Times New Roman"/>
          <w:sz w:val="24"/>
          <w:szCs w:val="24"/>
        </w:rPr>
        <w:t xml:space="preserve">he rediploidization process temporally overlaps with the species radiation, resulting in lineage-specific ohnolog resolution (LORe) that may fuel differentiation of genome structure and function </w:t>
      </w:r>
      <w:hyperlink r:id="rId20">
        <w:r>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t>Macqueen and Johnston 2014; Robertson et al. 2017)</w:t>
        </w:r>
      </w:hyperlink>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fact, due to the delayed rediploidization, only 75% of the duplicated genome diverged before the basal split in the Salmonid family ~60 MYA (henceforth referred to as ancestral ohnolog resolution</w:t>
      </w:r>
      <w:r>
        <w:rPr>
          <w:rFonts w:ascii="Times New Roman" w:eastAsia="Times New Roman" w:hAnsi="Times New Roman" w:cs="Times New Roman"/>
          <w:sz w:val="24"/>
          <w:szCs w:val="24"/>
        </w:rPr>
        <w:t xml:space="preserve">, AORe). Consequently, ~25% of the Ss4R duplicates have experienced independent rediploidization histories after the basal salmonid divergence resulting in the Salmoninae and Thymallinae clades. Interestingly, the species within these two clades have also </w:t>
      </w:r>
      <w:r>
        <w:rPr>
          <w:rFonts w:ascii="Times New Roman" w:eastAsia="Times New Roman" w:hAnsi="Times New Roman" w:cs="Times New Roman"/>
          <w:sz w:val="24"/>
          <w:szCs w:val="24"/>
        </w:rPr>
        <w:t>evolved widely different genome structures, ecology, physiology</w:t>
      </w:r>
      <w:r>
        <w:rPr>
          <w:rFonts w:ascii="Times New Roman" w:eastAsia="Times New Roman" w:hAnsi="Times New Roman" w:cs="Times New Roman"/>
          <w:color w:val="E69138"/>
          <w:sz w:val="24"/>
          <w:szCs w:val="24"/>
        </w:rPr>
        <w:t xml:space="preserve"> </w:t>
      </w:r>
      <w:r>
        <w:rPr>
          <w:rFonts w:ascii="Times New Roman" w:eastAsia="Times New Roman" w:hAnsi="Times New Roman" w:cs="Times New Roman"/>
          <w:sz w:val="24"/>
          <w:szCs w:val="24"/>
        </w:rPr>
        <w:t xml:space="preserve">and life history adaptations </w:t>
      </w:r>
      <w:hyperlink r:id="rId21">
        <w:r>
          <w:rPr>
            <w:rFonts w:ascii="Times New Roman" w:eastAsia="Times New Roman" w:hAnsi="Times New Roman" w:cs="Times New Roman"/>
            <w:color w:val="1155CC"/>
            <w:sz w:val="24"/>
            <w:szCs w:val="24"/>
            <w:u w:val="single"/>
          </w:rPr>
          <w:t>(Hendry and Stearns 2004)</w:t>
        </w:r>
      </w:hyperlink>
      <w:r>
        <w:rPr>
          <w:rFonts w:ascii="Times New Roman" w:eastAsia="Times New Roman" w:hAnsi="Times New Roman" w:cs="Times New Roman"/>
          <w:sz w:val="24"/>
          <w:szCs w:val="24"/>
        </w:rPr>
        <w:t xml:space="preserve">. In contrast to the </w:t>
      </w:r>
      <w:r>
        <w:rPr>
          <w:rFonts w:ascii="Times New Roman" w:eastAsia="Times New Roman" w:hAnsi="Times New Roman" w:cs="Times New Roman"/>
          <w:i/>
          <w:sz w:val="24"/>
          <w:szCs w:val="24"/>
          <w:highlight w:val="yellow"/>
        </w:rPr>
        <w:t>Thymallus</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lineage, the species in the subfamily Salmoninae hav</w:t>
      </w:r>
      <w:r>
        <w:rPr>
          <w:rFonts w:ascii="Times New Roman" w:eastAsia="Times New Roman" w:hAnsi="Times New Roman" w:cs="Times New Roman"/>
          <w:sz w:val="24"/>
          <w:szCs w:val="24"/>
        </w:rPr>
        <w:t>e fewer and highly derived chromosomes resulting from large-scale chromosomal translocations and fusions (Supplementary Figure S1), display extreme phenotypic plasticity, and have evolved the capability of migrating between fresh and saltwater habitats (re</w:t>
      </w:r>
      <w:r>
        <w:rPr>
          <w:rFonts w:ascii="Times New Roman" w:eastAsia="Times New Roman" w:hAnsi="Times New Roman" w:cs="Times New Roman"/>
          <w:sz w:val="24"/>
          <w:szCs w:val="24"/>
        </w:rPr>
        <w:t xml:space="preserve">ferred to as anadromy) </w:t>
      </w:r>
      <w:hyperlink r:id="rId22">
        <w:r>
          <w:rPr>
            <w:rFonts w:ascii="Times New Roman" w:eastAsia="Times New Roman" w:hAnsi="Times New Roman" w:cs="Times New Roman"/>
            <w:color w:val="1155CC"/>
            <w:sz w:val="24"/>
            <w:szCs w:val="24"/>
            <w:u w:val="single"/>
          </w:rPr>
          <w:t>(Nygren et al. 1971; Phillips and Ráb 2001; Hartley 1987; Ocalewicz et al. 2013; Alexandrou et al. 2013)</w:t>
        </w:r>
      </w:hyperlink>
      <w:r>
        <w:rPr>
          <w:rFonts w:ascii="Times New Roman" w:eastAsia="Times New Roman" w:hAnsi="Times New Roman" w:cs="Times New Roman"/>
          <w:sz w:val="24"/>
          <w:szCs w:val="24"/>
        </w:rPr>
        <w:t>. This unique combination of both shared and lineage-</w:t>
      </w:r>
      <w:r>
        <w:rPr>
          <w:rFonts w:ascii="Times New Roman" w:eastAsia="Times New Roman" w:hAnsi="Times New Roman" w:cs="Times New Roman"/>
          <w:sz w:val="24"/>
          <w:szCs w:val="24"/>
        </w:rPr>
        <w:t xml:space="preserve">specific rediploidization histories, and striking differences in genome structure and adaptations, provides an ideal study system for addressing key questions about the evolutionary consequences of WGD. </w:t>
      </w:r>
    </w:p>
    <w:p w:rsidR="00E94025" w:rsidRDefault="00571EC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gain deeper insights into how selection has shape</w:t>
      </w:r>
      <w:r>
        <w:rPr>
          <w:rFonts w:ascii="Times New Roman" w:eastAsia="Times New Roman" w:hAnsi="Times New Roman" w:cs="Times New Roman"/>
          <w:sz w:val="24"/>
          <w:szCs w:val="24"/>
        </w:rPr>
        <w:t>d the evolution of gene duplicates post WGD, we have sequenced, assembled and annotated the genome of the European grayling (</w:t>
      </w:r>
      <w:r>
        <w:rPr>
          <w:rFonts w:ascii="Times New Roman" w:eastAsia="Times New Roman" w:hAnsi="Times New Roman" w:cs="Times New Roman"/>
          <w:i/>
          <w:sz w:val="24"/>
          <w:szCs w:val="24"/>
        </w:rPr>
        <w:t xml:space="preserve">Thymallus thymallus </w:t>
      </w:r>
      <w:r>
        <w:rPr>
          <w:rFonts w:ascii="Times New Roman" w:eastAsia="Times New Roman" w:hAnsi="Times New Roman" w:cs="Times New Roman"/>
          <w:sz w:val="24"/>
          <w:szCs w:val="24"/>
          <w:highlight w:val="yellow"/>
        </w:rPr>
        <w:t>Linnaeus, 1758</w:t>
      </w:r>
      <w:r>
        <w:rPr>
          <w:rFonts w:ascii="Times New Roman" w:eastAsia="Times New Roman" w:hAnsi="Times New Roman" w:cs="Times New Roman"/>
          <w:sz w:val="24"/>
          <w:szCs w:val="24"/>
        </w:rPr>
        <w:t>), a species re</w:t>
      </w:r>
      <w:r>
        <w:rPr>
          <w:rFonts w:ascii="Times New Roman" w:eastAsia="Times New Roman" w:hAnsi="Times New Roman" w:cs="Times New Roman"/>
          <w:sz w:val="24"/>
          <w:szCs w:val="24"/>
        </w:rPr>
        <w:t>presentative of an early diverging non-anadromous salmonid lineage, Thymallinae</w:t>
      </w:r>
      <w:r>
        <w:rPr>
          <w:rFonts w:ascii="Times New Roman" w:eastAsia="Times New Roman" w:hAnsi="Times New Roman" w:cs="Times New Roman"/>
          <w:sz w:val="24"/>
          <w:szCs w:val="24"/>
        </w:rPr>
        <w:t>. We use this novel genomic resource in a comparative phylogenomic framework with the genome of Atlantic salmon (</w:t>
      </w:r>
      <w:r>
        <w:rPr>
          <w:rFonts w:ascii="Times New Roman" w:eastAsia="Times New Roman" w:hAnsi="Times New Roman" w:cs="Times New Roman"/>
          <w:i/>
          <w:sz w:val="24"/>
          <w:szCs w:val="24"/>
        </w:rPr>
        <w:t>Salmo salar</w:t>
      </w:r>
      <w:r>
        <w:rPr>
          <w:rFonts w:ascii="Times New Roman" w:eastAsia="Times New Roman" w:hAnsi="Times New Roman" w:cs="Times New Roman"/>
          <w:sz w:val="24"/>
          <w:szCs w:val="24"/>
        </w:rPr>
        <w:t>) of the Salmoninae lineage, to address the consequences of Ss4R WGD on lineage-specific rediploidization and selection on ohnolog g</w:t>
      </w:r>
      <w:r>
        <w:rPr>
          <w:rFonts w:ascii="Times New Roman" w:eastAsia="Times New Roman" w:hAnsi="Times New Roman" w:cs="Times New Roman"/>
          <w:sz w:val="24"/>
          <w:szCs w:val="24"/>
        </w:rPr>
        <w:t xml:space="preserve">ene expression regulation. </w:t>
      </w:r>
    </w:p>
    <w:p w:rsidR="00E94025" w:rsidRDefault="00571EC0">
      <w:pPr>
        <w:widowControl w:val="0"/>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results reveal signatures of adaptive regulatory divergence of ohnologs, strong selective constraints on expression evolution in brain and neural-related genes, and lineage-specific ohnolog divergence. Moreover, diverse biol</w:t>
      </w:r>
      <w:r>
        <w:rPr>
          <w:rFonts w:ascii="Times New Roman" w:eastAsia="Times New Roman" w:hAnsi="Times New Roman" w:cs="Times New Roman"/>
          <w:sz w:val="24"/>
          <w:szCs w:val="24"/>
        </w:rPr>
        <w:t xml:space="preserve">ogical processes </w:t>
      </w:r>
      <w:r>
        <w:rPr>
          <w:rFonts w:ascii="Times New Roman" w:eastAsia="Times New Roman" w:hAnsi="Times New Roman" w:cs="Times New Roman"/>
          <w:sz w:val="24"/>
          <w:szCs w:val="24"/>
          <w:highlight w:val="yellow"/>
        </w:rPr>
        <w:t>correspond</w:t>
      </w:r>
      <w:r>
        <w:rPr>
          <w:rFonts w:ascii="Times New Roman" w:eastAsia="Times New Roman" w:hAnsi="Times New Roman" w:cs="Times New Roman"/>
          <w:sz w:val="24"/>
          <w:szCs w:val="24"/>
        </w:rPr>
        <w:t xml:space="preserve"> to differences in evolutionary constraints during the 88-100MY of evolution post-WGD, pointing towards underlying differences in adaptive pressures in non-anadromous grayling and anadromous Atlantic salmon.</w:t>
      </w:r>
    </w:p>
    <w:p w:rsidR="00E94025" w:rsidRDefault="00571EC0" w:rsidP="00600B13">
      <w:pPr>
        <w:widowControl w:val="0"/>
        <w:spacing w:after="24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Results</w:t>
      </w:r>
    </w:p>
    <w:p w:rsidR="00E94025" w:rsidRDefault="00571EC0" w:rsidP="00600B13">
      <w:pPr>
        <w:widowControl w:val="0"/>
        <w:spacing w:after="240"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Genome assembly and annotation</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sequenced the genome of a wild-caught male grayling individual, </w:t>
      </w:r>
      <w:r>
        <w:rPr>
          <w:rFonts w:ascii="Times New Roman" w:eastAsia="Times New Roman" w:hAnsi="Times New Roman" w:cs="Times New Roman"/>
          <w:color w:val="333333"/>
          <w:sz w:val="24"/>
          <w:szCs w:val="24"/>
          <w:highlight w:val="white"/>
        </w:rPr>
        <w:t>sampled from the Norwegian river Glomma,</w:t>
      </w:r>
      <w:r>
        <w:rPr>
          <w:rFonts w:ascii="Times New Roman" w:eastAsia="Times New Roman" w:hAnsi="Times New Roman" w:cs="Times New Roman"/>
          <w:sz w:val="24"/>
          <w:szCs w:val="24"/>
        </w:rPr>
        <w:t xml:space="preserve"> using the Illumina HiSeq 2000 platform (Supplementary Table S1 and S2). </w:t>
      </w:r>
      <w:r>
        <w:rPr>
          <w:rFonts w:ascii="Times New Roman" w:eastAsia="Times New Roman" w:hAnsi="Times New Roman" w:cs="Times New Roman"/>
          <w:i/>
          <w:sz w:val="24"/>
          <w:szCs w:val="24"/>
        </w:rPr>
        <w:t>De novo</w:t>
      </w:r>
      <w:r>
        <w:rPr>
          <w:rFonts w:ascii="Times New Roman" w:eastAsia="Times New Roman" w:hAnsi="Times New Roman" w:cs="Times New Roman"/>
          <w:sz w:val="24"/>
          <w:szCs w:val="24"/>
        </w:rPr>
        <w:t xml:space="preserve"> assembly was performed using ALLPATHS-LG </w:t>
      </w:r>
      <w:hyperlink r:id="rId23">
        <w:r>
          <w:rPr>
            <w:rFonts w:ascii="Times New Roman" w:eastAsia="Times New Roman" w:hAnsi="Times New Roman" w:cs="Times New Roman"/>
            <w:color w:val="1155CC"/>
            <w:sz w:val="24"/>
            <w:szCs w:val="24"/>
            <w:u w:val="single"/>
          </w:rPr>
          <w:t>(Gnerre et al. 2011)</w:t>
        </w:r>
      </w:hyperlink>
      <w:r>
        <w:rPr>
          <w:rFonts w:ascii="Times New Roman" w:eastAsia="Times New Roman" w:hAnsi="Times New Roman" w:cs="Times New Roman"/>
          <w:sz w:val="24"/>
          <w:szCs w:val="24"/>
        </w:rPr>
        <w:t xml:space="preserve">, followed by assembly correction using Pilon </w:t>
      </w:r>
      <w:hyperlink r:id="rId24">
        <w:r>
          <w:rPr>
            <w:rFonts w:ascii="Times New Roman" w:eastAsia="Times New Roman" w:hAnsi="Times New Roman" w:cs="Times New Roman"/>
            <w:color w:val="1155CC"/>
            <w:sz w:val="24"/>
            <w:szCs w:val="24"/>
            <w:u w:val="single"/>
          </w:rPr>
          <w:t>(Walker et al. 2014)</w:t>
        </w:r>
      </w:hyperlink>
      <w:r>
        <w:rPr>
          <w:rFonts w:ascii="Times New Roman" w:eastAsia="Times New Roman" w:hAnsi="Times New Roman" w:cs="Times New Roman"/>
          <w:sz w:val="24"/>
          <w:szCs w:val="24"/>
        </w:rPr>
        <w:t>, resulting in 2</w:t>
      </w:r>
      <w:r>
        <w:rPr>
          <w:rFonts w:ascii="Times New Roman" w:eastAsia="Times New Roman" w:hAnsi="Times New Roman" w:cs="Times New Roman"/>
          <w:sz w:val="24"/>
          <w:szCs w:val="24"/>
        </w:rPr>
        <w:t>4,343 scaffolds with an N50 of 284 Kbp and a total size of 1.468 Gbp</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(Table 1). The scaffolds represent approximately 85% of the k-mer-based genome size estimate of ~1.8 Gbp.</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 C-values estimated previously for European grayling are 2.1</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pg (http://www.ge</w:t>
      </w:r>
      <w:r>
        <w:rPr>
          <w:rFonts w:ascii="Times New Roman" w:eastAsia="Times New Roman" w:hAnsi="Times New Roman" w:cs="Times New Roman"/>
          <w:sz w:val="24"/>
          <w:szCs w:val="24"/>
        </w:rPr>
        <w:t>nomesize.com/) and 1.9</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pg </w:t>
      </w:r>
      <w:hyperlink r:id="rId25">
        <w:r>
          <w:rPr>
            <w:rFonts w:ascii="Times New Roman" w:eastAsia="Times New Roman" w:hAnsi="Times New Roman" w:cs="Times New Roman"/>
            <w:color w:val="1155CC"/>
            <w:sz w:val="24"/>
            <w:szCs w:val="24"/>
            <w:u w:val="single"/>
          </w:rPr>
          <w:t>(Hartley 1987)</w:t>
        </w:r>
      </w:hyperlink>
      <w:r>
        <w:rPr>
          <w:rFonts w:ascii="Times New Roman" w:eastAsia="Times New Roman" w:hAnsi="Times New Roman" w:cs="Times New Roman"/>
          <w:sz w:val="24"/>
          <w:szCs w:val="24"/>
        </w:rPr>
        <w:t>. To annotate gene structures, we used RNA-Seq data from nine tissues extracted from the sequenced individual.</w:t>
      </w:r>
      <w:r>
        <w:rPr>
          <w:rFonts w:ascii="Times New Roman" w:eastAsia="Times New Roman" w:hAnsi="Times New Roman" w:cs="Times New Roman"/>
          <w:sz w:val="24"/>
          <w:szCs w:val="24"/>
        </w:rPr>
        <w:t xml:space="preserve"> We constructed transcriptome assemblies using both </w:t>
      </w:r>
      <w:r>
        <w:rPr>
          <w:rFonts w:ascii="Times New Roman" w:eastAsia="Times New Roman" w:hAnsi="Times New Roman" w:cs="Times New Roman"/>
          <w:i/>
          <w:sz w:val="24"/>
          <w:szCs w:val="24"/>
        </w:rPr>
        <w:t>de novo</w:t>
      </w:r>
      <w:r>
        <w:rPr>
          <w:rFonts w:ascii="Times New Roman" w:eastAsia="Times New Roman" w:hAnsi="Times New Roman" w:cs="Times New Roman"/>
          <w:sz w:val="24"/>
          <w:szCs w:val="24"/>
        </w:rPr>
        <w:t xml:space="preserve"> and reference-based methods. Repeat masking with a repeat library constructed using a combination of homology and </w:t>
      </w:r>
      <w:r>
        <w:rPr>
          <w:rFonts w:ascii="Times New Roman" w:eastAsia="Times New Roman" w:hAnsi="Times New Roman" w:cs="Times New Roman"/>
          <w:i/>
          <w:sz w:val="24"/>
          <w:szCs w:val="24"/>
        </w:rPr>
        <w:t>de novo</w:t>
      </w:r>
      <w:r>
        <w:rPr>
          <w:rFonts w:ascii="Times New Roman" w:eastAsia="Times New Roman" w:hAnsi="Times New Roman" w:cs="Times New Roman"/>
          <w:sz w:val="24"/>
          <w:szCs w:val="24"/>
        </w:rPr>
        <w:t>-based methods identified and masked approximately 600Mb (~40%) of the asse</w:t>
      </w:r>
      <w:r>
        <w:rPr>
          <w:rFonts w:ascii="Times New Roman" w:eastAsia="Times New Roman" w:hAnsi="Times New Roman" w:cs="Times New Roman"/>
          <w:sz w:val="24"/>
          <w:szCs w:val="24"/>
        </w:rPr>
        <w:t>mbl</w:t>
      </w:r>
      <w:r>
        <w:rPr>
          <w:rFonts w:ascii="Times New Roman" w:eastAsia="Times New Roman" w:hAnsi="Times New Roman" w:cs="Times New Roman"/>
          <w:sz w:val="24"/>
          <w:szCs w:val="24"/>
          <w:highlight w:val="yellow"/>
        </w:rPr>
        <w:t>y</w:t>
      </w:r>
      <w:r>
        <w:rPr>
          <w:rFonts w:ascii="Times New Roman" w:eastAsia="Times New Roman" w:hAnsi="Times New Roman" w:cs="Times New Roman"/>
          <w:sz w:val="24"/>
          <w:szCs w:val="24"/>
        </w:rPr>
        <w:t xml:space="preserve"> and was dominated by class1 DNA transposable elements (Supplementary Table S3 and a repeat landscape in Supplementary Figure S2). Finally, the transcriptome assemblies, the </w:t>
      </w:r>
      <w:r>
        <w:rPr>
          <w:rFonts w:ascii="Times New Roman" w:eastAsia="Times New Roman" w:hAnsi="Times New Roman" w:cs="Times New Roman"/>
          <w:i/>
          <w:sz w:val="24"/>
          <w:szCs w:val="24"/>
        </w:rPr>
        <w:t>de novo</w:t>
      </w:r>
      <w:r>
        <w:rPr>
          <w:rFonts w:ascii="Times New Roman" w:eastAsia="Times New Roman" w:hAnsi="Times New Roman" w:cs="Times New Roman"/>
          <w:sz w:val="24"/>
          <w:szCs w:val="24"/>
        </w:rPr>
        <w:t xml:space="preserve"> identified repeats along with the UniProt proteins </w:t>
      </w:r>
      <w:hyperlink r:id="rId26">
        <w:r>
          <w:rPr>
            <w:rFonts w:ascii="Times New Roman" w:eastAsia="Times New Roman" w:hAnsi="Times New Roman" w:cs="Times New Roman"/>
            <w:color w:val="1155CC"/>
            <w:sz w:val="24"/>
            <w:szCs w:val="24"/>
            <w:u w:val="single"/>
          </w:rPr>
          <w:t>(UniProt Consortium 2015)</w:t>
        </w:r>
      </w:hyperlink>
      <w:r>
        <w:rPr>
          <w:rFonts w:ascii="Times New Roman" w:eastAsia="Times New Roman" w:hAnsi="Times New Roman" w:cs="Times New Roman"/>
          <w:sz w:val="24"/>
          <w:szCs w:val="24"/>
        </w:rPr>
        <w:t xml:space="preserve"> and Atlantic salmon coding sequences </w:t>
      </w:r>
      <w:hyperlink r:id="rId27">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were utilized in the MAKER annotation pipeline, predicting a total of 117,944 gene </w:t>
      </w:r>
      <w:r>
        <w:rPr>
          <w:rFonts w:ascii="Times New Roman" w:eastAsia="Times New Roman" w:hAnsi="Times New Roman" w:cs="Times New Roman"/>
          <w:sz w:val="24"/>
          <w:szCs w:val="24"/>
        </w:rPr>
        <w:t>models, of which 48,753 protein coding genes were retained based on AED score (Annotation Edit Distance), homology with UniProt and Atlantic salmon proteins or presence of known domains. Assembly completeness was assessed at the gene level by looking for c</w:t>
      </w:r>
      <w:r>
        <w:rPr>
          <w:rFonts w:ascii="Times New Roman" w:eastAsia="Times New Roman" w:hAnsi="Times New Roman" w:cs="Times New Roman"/>
          <w:sz w:val="24"/>
          <w:szCs w:val="24"/>
        </w:rPr>
        <w:t>onserved genes using CEGMA and BUSCO. The assembly contains 236 (95.16%) out of 248 conserved eukaryotic genes (CEGs) with 200 (80.65%) complete CEGs. Of the 4,584 BUSCO (database: Actinopterygii, odb9), 4102 complete (89.5%) and 179 (3.9%%) fragmented gen</w:t>
      </w:r>
      <w:r>
        <w:rPr>
          <w:rFonts w:ascii="Times New Roman" w:eastAsia="Times New Roman" w:hAnsi="Times New Roman" w:cs="Times New Roman"/>
          <w:sz w:val="24"/>
          <w:szCs w:val="24"/>
        </w:rPr>
        <w:t>es were found in the assembly (Table 1).</w:t>
      </w: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1: Grayling genome assembly statistics</w:t>
      </w:r>
    </w:p>
    <w:tbl>
      <w:tblPr>
        <w:tblStyle w:val="a"/>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1515"/>
        <w:gridCol w:w="3165"/>
        <w:gridCol w:w="1755"/>
      </w:tblGrid>
      <w:tr w:rsidR="00E94025">
        <w:trPr>
          <w:trHeight w:val="440"/>
        </w:trPr>
        <w:tc>
          <w:tcPr>
            <w:tcW w:w="4110" w:type="dxa"/>
            <w:gridSpan w:val="2"/>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Assembly statistics</w:t>
            </w:r>
          </w:p>
        </w:tc>
        <w:tc>
          <w:tcPr>
            <w:tcW w:w="4920" w:type="dxa"/>
            <w:gridSpan w:val="2"/>
            <w:shd w:val="clear" w:color="auto" w:fill="auto"/>
            <w:tcMar>
              <w:top w:w="100" w:type="dxa"/>
              <w:left w:w="100" w:type="dxa"/>
              <w:bottom w:w="100" w:type="dxa"/>
              <w:right w:w="100" w:type="dxa"/>
            </w:tcMar>
          </w:tcPr>
          <w:p w:rsidR="00E94025" w:rsidRDefault="00571EC0">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Assembly Validation</w:t>
            </w:r>
          </w:p>
        </w:tc>
      </w:tr>
      <w:tr w:rsidR="00E94025">
        <w:tc>
          <w:tcPr>
            <w:tcW w:w="2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size of scaffolds (bp)</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1,468,519,221</w:t>
            </w:r>
          </w:p>
        </w:tc>
        <w:tc>
          <w:tcPr>
            <w:tcW w:w="31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Complete CEGMA</w:t>
            </w:r>
            <w:r>
              <w:rPr>
                <w:rFonts w:ascii="Times New Roman" w:eastAsia="Times New Roman" w:hAnsi="Times New Roman" w:cs="Times New Roman"/>
                <w:b/>
                <w:sz w:val="20"/>
                <w:szCs w:val="20"/>
                <w:vertAlign w:val="superscript"/>
              </w:rPr>
              <w:t>a</w:t>
            </w:r>
            <w:r>
              <w:rPr>
                <w:rFonts w:ascii="Times New Roman" w:eastAsia="Times New Roman" w:hAnsi="Times New Roman" w:cs="Times New Roman"/>
                <w:b/>
                <w:sz w:val="20"/>
                <w:szCs w:val="20"/>
              </w:rPr>
              <w:t xml:space="preserve"> genes</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80.65% (200/248)</w:t>
            </w:r>
          </w:p>
        </w:tc>
      </w:tr>
      <w:tr w:rsidR="00E94025">
        <w:tc>
          <w:tcPr>
            <w:tcW w:w="2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scaffolds</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24,369</w:t>
            </w:r>
          </w:p>
        </w:tc>
        <w:tc>
          <w:tcPr>
            <w:tcW w:w="31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Partial CEGMA genes</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95.16% (236/248)</w:t>
            </w:r>
          </w:p>
        </w:tc>
      </w:tr>
      <w:tr w:rsidR="00E94025">
        <w:tc>
          <w:tcPr>
            <w:tcW w:w="2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Scaffold N50 (bp)</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283,328</w:t>
            </w:r>
          </w:p>
        </w:tc>
        <w:tc>
          <w:tcPr>
            <w:tcW w:w="31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Complete BUSCOs</w:t>
            </w:r>
            <w:r>
              <w:rPr>
                <w:rFonts w:ascii="Times New Roman" w:eastAsia="Times New Roman" w:hAnsi="Times New Roman" w:cs="Times New Roman"/>
                <w:b/>
                <w:sz w:val="20"/>
                <w:szCs w:val="20"/>
                <w:vertAlign w:val="superscript"/>
              </w:rPr>
              <w:t>b</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4102 (89.5%)</w:t>
            </w:r>
          </w:p>
        </w:tc>
      </w:tr>
      <w:tr w:rsidR="00E94025">
        <w:tc>
          <w:tcPr>
            <w:tcW w:w="2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Longest scaffold (bp)</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2,502,076</w:t>
            </w:r>
          </w:p>
        </w:tc>
        <w:tc>
          <w:tcPr>
            <w:tcW w:w="31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Complete Duplicated BUSCOs</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1724 (37.6%)</w:t>
            </w:r>
          </w:p>
        </w:tc>
      </w:tr>
      <w:tr w:rsidR="00E94025">
        <w:tc>
          <w:tcPr>
            <w:tcW w:w="2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size of contigs (bp)</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1,278,330,545</w:t>
            </w:r>
          </w:p>
        </w:tc>
        <w:tc>
          <w:tcPr>
            <w:tcW w:w="31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Fragmented BUSCOS</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179(3.9%)</w:t>
            </w:r>
          </w:p>
        </w:tc>
      </w:tr>
      <w:tr w:rsidR="00E94025">
        <w:tc>
          <w:tcPr>
            <w:tcW w:w="2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Number of contigs</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216,549</w:t>
            </w:r>
          </w:p>
        </w:tc>
        <w:tc>
          <w:tcPr>
            <w:tcW w:w="31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Missing BUSCOS</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303(6.6%)</w:t>
            </w:r>
          </w:p>
        </w:tc>
      </w:tr>
      <w:tr w:rsidR="00E94025">
        <w:tc>
          <w:tcPr>
            <w:tcW w:w="259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Contig N50 (bp)</w:t>
            </w:r>
          </w:p>
        </w:tc>
        <w:tc>
          <w:tcPr>
            <w:tcW w:w="15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11,206</w:t>
            </w:r>
          </w:p>
        </w:tc>
        <w:tc>
          <w:tcPr>
            <w:tcW w:w="316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 BUSCOS searched</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4,584</w:t>
            </w:r>
          </w:p>
        </w:tc>
      </w:tr>
    </w:tbl>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a</w:t>
      </w:r>
      <w:r>
        <w:rPr>
          <w:rFonts w:ascii="Times New Roman" w:eastAsia="Times New Roman" w:hAnsi="Times New Roman" w:cs="Times New Roman"/>
          <w:sz w:val="18"/>
          <w:szCs w:val="18"/>
        </w:rPr>
        <w:t xml:space="preserve"> Based on 248 highly Conserved Eukaryotic Genes (CEGS),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b</w:t>
      </w:r>
      <w:r>
        <w:rPr>
          <w:rFonts w:ascii="Times New Roman" w:eastAsia="Times New Roman" w:hAnsi="Times New Roman" w:cs="Times New Roman"/>
          <w:sz w:val="18"/>
          <w:szCs w:val="18"/>
        </w:rPr>
        <w:t xml:space="preserve"> Based on a set of 4,584 actinopterygii odb9 Benchmarking Universal Single-Copy Orthologs (BUSCOs)</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18"/>
          <w:szCs w:val="18"/>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Divergent rediploidization rates among the salmonid lineages</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studies have suggested that up to 25% of the genome of the most recent common salmonid ancestor was still tetraploid when the grayling and Atlantic salmon lineages diverged </w:t>
      </w:r>
      <w:hyperlink r:id="rId28">
        <w:r>
          <w:rPr>
            <w:rFonts w:ascii="Times New Roman" w:eastAsia="Times New Roman" w:hAnsi="Times New Roman" w:cs="Times New Roman"/>
            <w:color w:val="1155CC"/>
            <w:sz w:val="24"/>
            <w:szCs w:val="24"/>
            <w:u w:val="single"/>
          </w:rPr>
          <w:t>(Lien et al. 2016; Robertson et al. 2017)</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highlight w:val="white"/>
        </w:rPr>
        <w:t xml:space="preserve">To test this hypothesis, we </w:t>
      </w:r>
      <w:r>
        <w:rPr>
          <w:rFonts w:ascii="Times New Roman" w:eastAsia="Times New Roman" w:hAnsi="Times New Roman" w:cs="Times New Roman"/>
          <w:sz w:val="24"/>
          <w:szCs w:val="24"/>
        </w:rPr>
        <w:t>used a phylogenomic approach to characterize rediploidization following Ss4R in grayling. We inferred 23,782 groups of orthologous genes (</w:t>
      </w:r>
      <w:r>
        <w:rPr>
          <w:rFonts w:ascii="Times New Roman" w:eastAsia="Times New Roman" w:hAnsi="Times New Roman" w:cs="Times New Roman"/>
          <w:sz w:val="24"/>
          <w:szCs w:val="24"/>
        </w:rPr>
        <w:t xml:space="preserve">i.e. ortholog groups or orthogroups) using gene models from </w:t>
      </w:r>
      <w:r>
        <w:rPr>
          <w:rFonts w:ascii="Times New Roman" w:eastAsia="Times New Roman" w:hAnsi="Times New Roman" w:cs="Times New Roman"/>
          <w:i/>
          <w:sz w:val="24"/>
          <w:szCs w:val="24"/>
        </w:rPr>
        <w:t xml:space="preserve">Homo sapiens </w:t>
      </w:r>
      <w:r>
        <w:rPr>
          <w:rFonts w:ascii="Times New Roman" w:eastAsia="Times New Roman" w:hAnsi="Times New Roman" w:cs="Times New Roman"/>
          <w:sz w:val="24"/>
          <w:szCs w:val="24"/>
        </w:rPr>
        <w:t>(human)</w:t>
      </w:r>
      <w:r>
        <w:rPr>
          <w:rFonts w:ascii="Times New Roman" w:eastAsia="Times New Roman" w:hAnsi="Times New Roman" w:cs="Times New Roman"/>
          <w:i/>
          <w:sz w:val="24"/>
          <w:szCs w:val="24"/>
        </w:rPr>
        <w:t xml:space="preserve">, Mus musculus </w:t>
      </w:r>
      <w:r>
        <w:rPr>
          <w:rFonts w:ascii="Times New Roman" w:eastAsia="Times New Roman" w:hAnsi="Times New Roman" w:cs="Times New Roman"/>
          <w:sz w:val="24"/>
          <w:szCs w:val="24"/>
        </w:rPr>
        <w:t>(mouse)</w:t>
      </w:r>
      <w:r>
        <w:rPr>
          <w:rFonts w:ascii="Times New Roman" w:eastAsia="Times New Roman" w:hAnsi="Times New Roman" w:cs="Times New Roman"/>
          <w:i/>
          <w:sz w:val="24"/>
          <w:szCs w:val="24"/>
        </w:rPr>
        <w:t xml:space="preserve">, Danio rerio </w:t>
      </w:r>
      <w:r>
        <w:rPr>
          <w:rFonts w:ascii="Times New Roman" w:eastAsia="Times New Roman" w:hAnsi="Times New Roman" w:cs="Times New Roman"/>
          <w:sz w:val="24"/>
          <w:szCs w:val="24"/>
        </w:rPr>
        <w:t>(zebrafish)</w:t>
      </w:r>
      <w:r>
        <w:rPr>
          <w:rFonts w:ascii="Times New Roman" w:eastAsia="Times New Roman" w:hAnsi="Times New Roman" w:cs="Times New Roman"/>
          <w:i/>
          <w:sz w:val="24"/>
          <w:szCs w:val="24"/>
        </w:rPr>
        <w:t xml:space="preserve">, Gasterosteus aculeatus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three-spined</w:t>
      </w:r>
      <w:r>
        <w:rPr>
          <w:rFonts w:ascii="Times New Roman" w:eastAsia="Times New Roman" w:hAnsi="Times New Roman" w:cs="Times New Roman"/>
          <w:sz w:val="24"/>
          <w:szCs w:val="24"/>
        </w:rPr>
        <w:t xml:space="preserve"> stickleback)</w:t>
      </w:r>
      <w:r>
        <w:rPr>
          <w:rFonts w:ascii="Times New Roman" w:eastAsia="Times New Roman" w:hAnsi="Times New Roman" w:cs="Times New Roman"/>
          <w:i/>
          <w:sz w:val="24"/>
          <w:szCs w:val="24"/>
        </w:rPr>
        <w:t>, Oryzias latipes</w:t>
      </w:r>
      <w:r>
        <w:rPr>
          <w:rFonts w:ascii="Times New Roman" w:eastAsia="Times New Roman" w:hAnsi="Times New Roman" w:cs="Times New Roman"/>
          <w:sz w:val="24"/>
          <w:szCs w:val="24"/>
        </w:rPr>
        <w:t xml:space="preserve"> (medaka)</w:t>
      </w:r>
      <w:r>
        <w:rPr>
          <w:rFonts w:ascii="Times New Roman" w:eastAsia="Times New Roman" w:hAnsi="Times New Roman" w:cs="Times New Roman"/>
          <w:i/>
          <w:sz w:val="24"/>
          <w:szCs w:val="24"/>
        </w:rPr>
        <w:t xml:space="preserve">, Esox lucius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northern pike</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Salmo salar </w:t>
      </w:r>
      <w:r>
        <w:rPr>
          <w:rFonts w:ascii="Times New Roman" w:eastAsia="Times New Roman" w:hAnsi="Times New Roman" w:cs="Times New Roman"/>
          <w:sz w:val="24"/>
          <w:szCs w:val="24"/>
        </w:rPr>
        <w:t>(Atlantic salmon)</w:t>
      </w:r>
      <w:r>
        <w:rPr>
          <w:rFonts w:ascii="Times New Roman" w:eastAsia="Times New Roman" w:hAnsi="Times New Roman" w:cs="Times New Roman"/>
          <w:i/>
          <w:sz w:val="24"/>
          <w:szCs w:val="24"/>
        </w:rPr>
        <w:t xml:space="preserve">, Oncorhynchus mykiss </w:t>
      </w:r>
      <w:r>
        <w:rPr>
          <w:rFonts w:ascii="Times New Roman" w:eastAsia="Times New Roman" w:hAnsi="Times New Roman" w:cs="Times New Roman"/>
          <w:sz w:val="24"/>
          <w:szCs w:val="24"/>
        </w:rPr>
        <w:t>(rainbow trout)</w:t>
      </w:r>
      <w:r>
        <w:rPr>
          <w:rFonts w:ascii="Times New Roman" w:eastAsia="Times New Roman" w:hAnsi="Times New Roman" w:cs="Times New Roman"/>
          <w:i/>
          <w:sz w:val="24"/>
          <w:szCs w:val="24"/>
        </w:rPr>
        <w:t xml:space="preserve"> and </w:t>
      </w:r>
      <w:r>
        <w:rPr>
          <w:rFonts w:ascii="Times New Roman" w:eastAsia="Times New Roman" w:hAnsi="Times New Roman" w:cs="Times New Roman"/>
          <w:i/>
          <w:color w:val="222222"/>
          <w:sz w:val="24"/>
          <w:szCs w:val="24"/>
          <w:highlight w:val="white"/>
        </w:rPr>
        <w:t xml:space="preserve">Oncorhynchus kisutch </w:t>
      </w:r>
      <w:r>
        <w:rPr>
          <w:rFonts w:ascii="Times New Roman" w:eastAsia="Times New Roman" w:hAnsi="Times New Roman" w:cs="Times New Roman"/>
          <w:color w:val="222222"/>
          <w:sz w:val="24"/>
          <w:szCs w:val="24"/>
          <w:highlight w:val="white"/>
        </w:rPr>
        <w:t>(coho salmon)</w:t>
      </w:r>
      <w:r>
        <w:rPr>
          <w:rFonts w:ascii="Times New Roman" w:eastAsia="Times New Roman" w:hAnsi="Times New Roman" w:cs="Times New Roman"/>
          <w:i/>
          <w:color w:val="222222"/>
          <w:sz w:val="24"/>
          <w:szCs w:val="24"/>
          <w:highlight w:val="white"/>
        </w:rPr>
        <w:t xml:space="preserve"> </w:t>
      </w:r>
      <w:r>
        <w:rPr>
          <w:rFonts w:ascii="Times New Roman" w:eastAsia="Times New Roman" w:hAnsi="Times New Roman" w:cs="Times New Roman"/>
          <w:sz w:val="24"/>
          <w:szCs w:val="24"/>
        </w:rPr>
        <w:t>(Figure 1). These orthogroups were used to infer gene trees. In total, 20,342 gene trees contained WGD events older than Ss4R (Ts3R or 2R) and were further subdiv</w:t>
      </w:r>
      <w:r>
        <w:rPr>
          <w:rFonts w:ascii="Times New Roman" w:eastAsia="Times New Roman" w:hAnsi="Times New Roman" w:cs="Times New Roman"/>
          <w:sz w:val="24"/>
          <w:szCs w:val="24"/>
        </w:rPr>
        <w:t xml:space="preserve">ided into smaller sub-groups (i.e. </w:t>
      </w:r>
      <w:r>
        <w:rPr>
          <w:rFonts w:ascii="Times New Roman" w:eastAsia="Times New Roman" w:hAnsi="Times New Roman" w:cs="Times New Roman"/>
          <w:sz w:val="24"/>
          <w:szCs w:val="24"/>
          <w:highlight w:val="yellow"/>
        </w:rPr>
        <w:t>unrooted monophyletic clade termed as clans</w:t>
      </w:r>
      <w:r>
        <w:rPr>
          <w:rFonts w:ascii="Times New Roman" w:eastAsia="Times New Roman" w:hAnsi="Times New Roman" w:cs="Times New Roman"/>
          <w:sz w:val="24"/>
          <w:szCs w:val="24"/>
        </w:rPr>
        <w:t xml:space="preserve">, see Methods for details and Supplementary Figure S3). To identify orthogroups with retained Ss4R duplicates, we relied on the high-quality reference genome of Atlantic salmon </w:t>
      </w:r>
      <w:hyperlink r:id="rId29">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A synteny-aware blast approach </w:t>
      </w:r>
      <w:hyperlink r:id="rId30">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was first used to identify Ss4R duplicate/ohnolog pairs in the Atlantic salmo</w:t>
      </w:r>
      <w:r>
        <w:rPr>
          <w:rFonts w:ascii="Times New Roman" w:eastAsia="Times New Roman" w:hAnsi="Times New Roman" w:cs="Times New Roman"/>
          <w:sz w:val="24"/>
          <w:szCs w:val="24"/>
        </w:rPr>
        <w:t>n genome and this information was used to identify a total of 8,527 gene trees containing high confidence ohnologs originating from Ss4R. Finally, gene trees were classified based on the tree topology into duplicates conforming to LORe and those with ances</w:t>
      </w:r>
      <w:r>
        <w:rPr>
          <w:rFonts w:ascii="Times New Roman" w:eastAsia="Times New Roman" w:hAnsi="Times New Roman" w:cs="Times New Roman"/>
          <w:sz w:val="24"/>
          <w:szCs w:val="24"/>
        </w:rPr>
        <w:t>trally diverged duplicates following the topology expected under AORe (Figure 2a). In total, 3,367 gene trees correspond to LORe regions (2,403 with a single copy in grayling) and 5,160 correspond to an AORe-like topology. These data were cross-checked wit</w:t>
      </w:r>
      <w:r>
        <w:rPr>
          <w:rFonts w:ascii="Times New Roman" w:eastAsia="Times New Roman" w:hAnsi="Times New Roman" w:cs="Times New Roman"/>
          <w:sz w:val="24"/>
          <w:szCs w:val="24"/>
        </w:rPr>
        <w:t xml:space="preserve">h the LORe coordinates suggested by Robertson et al </w:t>
      </w:r>
      <w:hyperlink r:id="rId31">
        <w:r>
          <w:rPr>
            <w:rFonts w:ascii="Times New Roman" w:eastAsia="Times New Roman" w:hAnsi="Times New Roman" w:cs="Times New Roman"/>
            <w:color w:val="1155CC"/>
            <w:sz w:val="24"/>
            <w:szCs w:val="24"/>
            <w:u w:val="single"/>
          </w:rPr>
          <w:t>(Robertson et al. 2017)</w:t>
        </w:r>
      </w:hyperlink>
      <w:r>
        <w:rPr>
          <w:rFonts w:ascii="Times New Roman" w:eastAsia="Times New Roman" w:hAnsi="Times New Roman" w:cs="Times New Roman"/>
          <w:sz w:val="24"/>
          <w:szCs w:val="24"/>
        </w:rPr>
        <w:t xml:space="preserve"> and genes with LORe-type topologies from non-LORe regions of the genome were discarded. The final set (henceforth referred to</w:t>
      </w:r>
      <w:r>
        <w:rPr>
          <w:rFonts w:ascii="Times New Roman" w:eastAsia="Times New Roman" w:hAnsi="Times New Roman" w:cs="Times New Roman"/>
          <w:sz w:val="24"/>
          <w:szCs w:val="24"/>
        </w:rPr>
        <w:t xml:space="preserve"> as ohnolog-tetrads) consisted of 5,475 gene trees containing Ss4R duplicates from both species (4,735 AORe, 740 LORe). In addition, 482 ortholog sets contained Ss4R duplicates in Atlantic salmon but </w:t>
      </w:r>
      <w:r>
        <w:rPr>
          <w:rFonts w:ascii="Times New Roman" w:eastAsia="Times New Roman" w:hAnsi="Times New Roman" w:cs="Times New Roman"/>
          <w:sz w:val="24"/>
          <w:szCs w:val="24"/>
        </w:rPr>
        <w:lastRenderedPageBreak/>
        <w:t>not in grayling.</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31750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5734050" cy="3175000"/>
                    </a:xfrm>
                    <a:prstGeom prst="rect">
                      <a:avLst/>
                    </a:prstGeom>
                    <a:ln/>
                  </pic:spPr>
                </pic:pic>
              </a:graphicData>
            </a:graphic>
          </wp:inline>
        </w:drawing>
      </w: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1: Species and genes in </w:t>
      </w:r>
      <w:r>
        <w:rPr>
          <w:rFonts w:ascii="Times New Roman" w:eastAsia="Times New Roman" w:hAnsi="Times New Roman" w:cs="Times New Roman"/>
          <w:b/>
          <w:sz w:val="20"/>
          <w:szCs w:val="20"/>
        </w:rPr>
        <w:t xml:space="preserve">ortholog groups.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Left: phylogenetic relationship of species used for constructing ortholog groups and gene trees. The blue circle indicates the 3R-WGD event while the Ss4R event is indicated with an orange circle. Right: number of genes assigned to orthol</w:t>
      </w:r>
      <w:r>
        <w:rPr>
          <w:rFonts w:ascii="Times New Roman" w:eastAsia="Times New Roman" w:hAnsi="Times New Roman" w:cs="Times New Roman"/>
          <w:sz w:val="20"/>
          <w:szCs w:val="20"/>
        </w:rPr>
        <w:t xml:space="preserve">og groups in each of the species used in the analysis. </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b/>
          <w:sz w:val="20"/>
          <w:szCs w:val="20"/>
        </w:rPr>
      </w:pP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regions of ancestral and lineage-specific rediploidization in the grayling genome, we assigned genes from gene trees that contained Ss4R duplicates to genomic positions on the Atlantic sa</w:t>
      </w:r>
      <w:r>
        <w:rPr>
          <w:rFonts w:ascii="Times New Roman" w:eastAsia="Times New Roman" w:hAnsi="Times New Roman" w:cs="Times New Roman"/>
          <w:sz w:val="24"/>
          <w:szCs w:val="24"/>
        </w:rPr>
        <w:t xml:space="preserve">lmon chromosomes (Figure 2b). In Atlantic salmon, several homeologous chromosome arms (2p-5q, 2q-12qa, 3q-6p, 4p-8q, 7q-17qb, 11qa-26, 16qb-17qa) have previously been described as homeologous regions under delayed rediploidization </w:t>
      </w:r>
      <w:hyperlink r:id="rId33">
        <w:r>
          <w:rPr>
            <w:rFonts w:ascii="Times New Roman" w:eastAsia="Times New Roman" w:hAnsi="Times New Roman" w:cs="Times New Roman"/>
            <w:color w:val="1155CC"/>
            <w:sz w:val="24"/>
            <w:szCs w:val="24"/>
            <w:u w:val="single"/>
          </w:rPr>
          <w:t>(Lien et al. 2016; Robertson et al. 2017)</w:t>
        </w:r>
      </w:hyperlink>
      <w:r>
        <w:rPr>
          <w:rFonts w:ascii="Times New Roman" w:eastAsia="Times New Roman" w:hAnsi="Times New Roman" w:cs="Times New Roman"/>
          <w:sz w:val="24"/>
          <w:szCs w:val="24"/>
        </w:rPr>
        <w:t>(indicated in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Figure 2b as red and blue ribbons). Interestingly, for the homeologous LORe regions 2q-12qa, 4p-8q and 16qb-17qa in Atlantic salmon, we identified only one orthologou</w:t>
      </w:r>
      <w:r>
        <w:rPr>
          <w:rFonts w:ascii="Times New Roman" w:eastAsia="Times New Roman" w:hAnsi="Times New Roman" w:cs="Times New Roman"/>
          <w:sz w:val="24"/>
          <w:szCs w:val="24"/>
        </w:rPr>
        <w:t>s region in grayling, suggesting either loss of large duplicated blocks or sequence assembly collapse in grayling. To test the ‘assembly collapse’ hypothesis, we mapped the grayling Illumina paired-end reads that were used for the assembly back to the gray</w:t>
      </w:r>
      <w:r>
        <w:rPr>
          <w:rFonts w:ascii="Times New Roman" w:eastAsia="Times New Roman" w:hAnsi="Times New Roman" w:cs="Times New Roman"/>
          <w:sz w:val="24"/>
          <w:szCs w:val="24"/>
        </w:rPr>
        <w:t xml:space="preserve">ling genome sequence using BWA-MEM </w:t>
      </w:r>
      <w:hyperlink r:id="rId34">
        <w:r>
          <w:rPr>
            <w:rFonts w:ascii="Times New Roman" w:eastAsia="Times New Roman" w:hAnsi="Times New Roman" w:cs="Times New Roman"/>
            <w:color w:val="1155CC"/>
            <w:sz w:val="24"/>
            <w:szCs w:val="24"/>
            <w:u w:val="single"/>
          </w:rPr>
          <w:t>(Li 2013)</w:t>
        </w:r>
      </w:hyperlink>
      <w:r>
        <w:rPr>
          <w:rFonts w:ascii="Times New Roman" w:eastAsia="Times New Roman" w:hAnsi="Times New Roman" w:cs="Times New Roman"/>
          <w:sz w:val="24"/>
          <w:szCs w:val="24"/>
        </w:rPr>
        <w:t xml:space="preserve"> and determined the mapped read depth for each of the grayling genes. Single-copy grayling genes in LORe regions consistently displayed read depths (~100x) t</w:t>
      </w:r>
      <w:r>
        <w:rPr>
          <w:rFonts w:ascii="Times New Roman" w:eastAsia="Times New Roman" w:hAnsi="Times New Roman" w:cs="Times New Roman"/>
          <w:sz w:val="24"/>
          <w:szCs w:val="24"/>
        </w:rPr>
        <w:t xml:space="preserve">wice that of the LORe duplicates in grayling (Figure 2c and Supplementary Figure S4a), indicating assembly collapse rather than loss of large chromosomal regions. Additionally, the SNP density of the scaffolds in these regions computed using FreeBayes </w:t>
      </w:r>
      <w:hyperlink r:id="rId35">
        <w:r>
          <w:rPr>
            <w:rFonts w:ascii="Times New Roman" w:eastAsia="Times New Roman" w:hAnsi="Times New Roman" w:cs="Times New Roman"/>
            <w:color w:val="1155CC"/>
            <w:sz w:val="24"/>
            <w:szCs w:val="24"/>
            <w:u w:val="single"/>
          </w:rPr>
          <w:t>(Garrison and Marth 2012)</w:t>
        </w:r>
      </w:hyperlink>
      <w:r>
        <w:rPr>
          <w:rFonts w:ascii="Times New Roman" w:eastAsia="Times New Roman" w:hAnsi="Times New Roman" w:cs="Times New Roman"/>
          <w:sz w:val="24"/>
          <w:szCs w:val="24"/>
        </w:rPr>
        <w:t xml:space="preserve"> (quality filter of 30) displayed values </w:t>
      </w:r>
      <w:r>
        <w:rPr>
          <w:rFonts w:ascii="Times New Roman" w:eastAsia="Times New Roman" w:hAnsi="Times New Roman" w:cs="Times New Roman"/>
          <w:sz w:val="24"/>
          <w:szCs w:val="24"/>
        </w:rPr>
        <w:lastRenderedPageBreak/>
        <w:t>that were on an average twice that of the background SNP density, albeit with a much wider distribution (Figure 2d and Supplementary Figure</w:t>
      </w:r>
      <w:r>
        <w:rPr>
          <w:rFonts w:ascii="Times New Roman" w:eastAsia="Times New Roman" w:hAnsi="Times New Roman" w:cs="Times New Roman"/>
          <w:sz w:val="24"/>
          <w:szCs w:val="24"/>
        </w:rPr>
        <w:t xml:space="preserve"> S4b).</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b/>
          <w:sz w:val="20"/>
          <w:szCs w:val="20"/>
        </w:rPr>
      </w:pP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b/>
          <w:sz w:val="20"/>
          <w:szCs w:val="20"/>
        </w:rPr>
      </w:pP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extent cx="5734050" cy="47625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5734050" cy="4762500"/>
                    </a:xfrm>
                    <a:prstGeom prst="rect">
                      <a:avLst/>
                    </a:prstGeom>
                    <a:ln/>
                  </pic:spPr>
                </pic:pic>
              </a:graphicData>
            </a:graphic>
          </wp:inline>
        </w:drawing>
      </w:r>
    </w:p>
    <w:p w:rsidR="00E94025" w:rsidRDefault="00E94025">
      <w:pPr>
        <w:widowControl w:val="0"/>
        <w:spacing w:line="360" w:lineRule="auto"/>
        <w:jc w:val="both"/>
        <w:rPr>
          <w:rFonts w:ascii="Times New Roman" w:eastAsia="Times New Roman" w:hAnsi="Times New Roman" w:cs="Times New Roman"/>
          <w:b/>
          <w:sz w:val="20"/>
          <w:szCs w:val="20"/>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2: Rediploidization in grayling genome</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Gene tree topologies corresponding to the different models of ohnolog resolution (ancestral divergence of ohnologs (AORe; </w:t>
      </w:r>
      <w:r>
        <w:rPr>
          <w:rFonts w:ascii="Times New Roman" w:eastAsia="Times New Roman" w:hAnsi="Times New Roman" w:cs="Times New Roman"/>
          <w:sz w:val="20"/>
          <w:szCs w:val="20"/>
          <w:highlight w:val="yellow"/>
        </w:rPr>
        <w:t>grey</w:t>
      </w:r>
      <w:r>
        <w:rPr>
          <w:rFonts w:ascii="Times New Roman" w:eastAsia="Times New Roman" w:hAnsi="Times New Roman" w:cs="Times New Roman"/>
          <w:sz w:val="20"/>
          <w:szCs w:val="20"/>
        </w:rPr>
        <w:t>) and lineage-specific divergence of ohnologs (LORe</w:t>
      </w:r>
      <w:r>
        <w:rPr>
          <w:rFonts w:ascii="Times New Roman" w:eastAsia="Times New Roman" w:hAnsi="Times New Roman" w:cs="Times New Roman"/>
          <w:sz w:val="20"/>
          <w:szCs w:val="20"/>
          <w:highlight w:val="yellow"/>
        </w:rPr>
        <w:t xml:space="preserve"> in red </w:t>
      </w:r>
      <w:r>
        <w:rPr>
          <w:rFonts w:ascii="Times New Roman" w:eastAsia="Times New Roman" w:hAnsi="Times New Roman" w:cs="Times New Roman"/>
          <w:sz w:val="20"/>
          <w:szCs w:val="20"/>
        </w:rPr>
        <w:t>and LORe-like regions</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with repeat collapse in grayling</w:t>
      </w:r>
      <w:r>
        <w:rPr>
          <w:rFonts w:ascii="Times New Roman" w:eastAsia="Times New Roman" w:hAnsi="Times New Roman" w:cs="Times New Roman"/>
          <w:sz w:val="20"/>
          <w:szCs w:val="20"/>
          <w:highlight w:val="yellow"/>
        </w:rPr>
        <w:t>, in blue</w:t>
      </w:r>
      <w:r>
        <w:rPr>
          <w:rFonts w:ascii="Times New Roman" w:eastAsia="Times New Roman" w:hAnsi="Times New Roman" w:cs="Times New Roman"/>
          <w:sz w:val="20"/>
          <w:szCs w:val="20"/>
        </w:rPr>
        <w:t>). b) Circos plot: Outer track (I) represents the 29 chromosomes of Atlantic salmon with chromosome arms indicated using light and dark grey. (II) Percent identity between duplicated genomic r</w:t>
      </w:r>
      <w:r>
        <w:rPr>
          <w:rFonts w:ascii="Times New Roman" w:eastAsia="Times New Roman" w:hAnsi="Times New Roman" w:cs="Times New Roman"/>
          <w:sz w:val="20"/>
          <w:szCs w:val="20"/>
        </w:rPr>
        <w:t>egions in Atlantic salmon with darker green representing higher percent identity (see color scale). (III) Average number of reads mapped to grayling genes in the corresponding regions. (IV) The grey ribbons represent the ancestrally diverged gene duplicate</w:t>
      </w:r>
      <w:r>
        <w:rPr>
          <w:rFonts w:ascii="Times New Roman" w:eastAsia="Times New Roman" w:hAnsi="Times New Roman" w:cs="Times New Roman"/>
          <w:sz w:val="20"/>
          <w:szCs w:val="20"/>
        </w:rPr>
        <w:t xml:space="preserve"> pairs (AORe), while the red ribbons represent the LORe duplicate pairs and the blue ribbons correspond to LORe regions with a collapsed assembly in grayling. The inset </w:t>
      </w:r>
      <w:r>
        <w:rPr>
          <w:rFonts w:ascii="Times New Roman" w:eastAsia="Times New Roman" w:hAnsi="Times New Roman" w:cs="Times New Roman"/>
          <w:sz w:val="20"/>
          <w:szCs w:val="20"/>
          <w:highlight w:val="yellow"/>
        </w:rPr>
        <w:t>plots</w:t>
      </w:r>
      <w:r>
        <w:rPr>
          <w:rFonts w:ascii="Times New Roman" w:eastAsia="Times New Roman" w:hAnsi="Times New Roman" w:cs="Times New Roman"/>
          <w:sz w:val="20"/>
          <w:szCs w:val="20"/>
        </w:rPr>
        <w:t xml:space="preserve"> sho</w:t>
      </w:r>
      <w:r>
        <w:rPr>
          <w:rFonts w:ascii="Times New Roman" w:eastAsia="Times New Roman" w:hAnsi="Times New Roman" w:cs="Times New Roman"/>
          <w:sz w:val="20"/>
          <w:szCs w:val="20"/>
          <w:highlight w:val="yellow"/>
        </w:rPr>
        <w:t>w</w:t>
      </w:r>
      <w:r>
        <w:rPr>
          <w:rFonts w:ascii="Times New Roman" w:eastAsia="Times New Roman" w:hAnsi="Times New Roman" w:cs="Times New Roman"/>
          <w:sz w:val="20"/>
          <w:szCs w:val="20"/>
        </w:rPr>
        <w:t xml:space="preserve"> the distribution of average depth of reads mapped to the grayling genes (c) </w:t>
      </w:r>
      <w:r>
        <w:rPr>
          <w:rFonts w:ascii="Times New Roman" w:eastAsia="Times New Roman" w:hAnsi="Times New Roman" w:cs="Times New Roman"/>
          <w:sz w:val="20"/>
          <w:szCs w:val="20"/>
        </w:rPr>
        <w:t>and SNP density per Kb (d) across chromosome 2 (marked with a yellow box in b).</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0"/>
          <w:szCs w:val="20"/>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Ohnolog tissue gene expression regulation</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investigate the regulatory divergence in tissue expression following Ss4R, we exploited tissue expression atlases of Atlantic salm</w:t>
      </w:r>
      <w:r>
        <w:rPr>
          <w:rFonts w:ascii="Times New Roman" w:eastAsia="Times New Roman" w:hAnsi="Times New Roman" w:cs="Times New Roman"/>
          <w:sz w:val="24"/>
          <w:szCs w:val="24"/>
        </w:rPr>
        <w:t xml:space="preserve">on and grayling in a co-expression analysis. Individual genes from 5,070 ‘expressed’ ohnolog-tetrads (20,280 genes in total) were assigned to eight ‘tissue dominant’ expression clusters (Methods, Supplementary Figure S5). These co-expression clusters were </w:t>
      </w:r>
      <w:r>
        <w:rPr>
          <w:rFonts w:ascii="Times New Roman" w:eastAsia="Times New Roman" w:hAnsi="Times New Roman" w:cs="Times New Roman"/>
          <w:sz w:val="24"/>
          <w:szCs w:val="24"/>
        </w:rPr>
        <w:t>used to identify ohnolog-tetrads conforming to expectations of expression</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patterns under five evolutionary scenarios (see Table 2, Figure 3 </w:t>
      </w:r>
      <w:r>
        <w:rPr>
          <w:rFonts w:ascii="Times New Roman" w:eastAsia="Times New Roman" w:hAnsi="Times New Roman" w:cs="Times New Roman"/>
          <w:sz w:val="24"/>
          <w:szCs w:val="24"/>
          <w:highlight w:val="yellow"/>
        </w:rPr>
        <w:t>and Figure S6</w:t>
      </w:r>
      <w:r>
        <w:rPr>
          <w:rFonts w:ascii="Times New Roman" w:eastAsia="Times New Roman" w:hAnsi="Times New Roman" w:cs="Times New Roman"/>
          <w:sz w:val="24"/>
          <w:szCs w:val="24"/>
        </w:rPr>
        <w:t>): (I) ancestral ohnolog divergence followed by independent purifying selection in both species, (II) c</w:t>
      </w:r>
      <w:r>
        <w:rPr>
          <w:rFonts w:ascii="Times New Roman" w:eastAsia="Times New Roman" w:hAnsi="Times New Roman" w:cs="Times New Roman"/>
          <w:sz w:val="24"/>
          <w:szCs w:val="24"/>
        </w:rPr>
        <w:t>onserved tissue regulation in both species, (III and IV) lineage-specific regulatory divergence of one duplicate. In addition, a fifth (V) scenario where</w:t>
      </w:r>
      <w:r>
        <w:rPr>
          <w:rFonts w:ascii="Times New Roman" w:eastAsia="Times New Roman" w:hAnsi="Times New Roman" w:cs="Times New Roman"/>
          <w:color w:val="FF00FF"/>
          <w:sz w:val="24"/>
          <w:szCs w:val="24"/>
        </w:rPr>
        <w:t xml:space="preserve"> </w:t>
      </w:r>
      <w:r>
        <w:rPr>
          <w:rFonts w:ascii="Times New Roman" w:eastAsia="Times New Roman" w:hAnsi="Times New Roman" w:cs="Times New Roman"/>
          <w:sz w:val="24"/>
          <w:szCs w:val="24"/>
        </w:rPr>
        <w:t>regulation among duplicates are shared within species but different between species, is expected to be</w:t>
      </w:r>
      <w:r>
        <w:rPr>
          <w:rFonts w:ascii="Times New Roman" w:eastAsia="Times New Roman" w:hAnsi="Times New Roman" w:cs="Times New Roman"/>
          <w:sz w:val="24"/>
          <w:szCs w:val="24"/>
        </w:rPr>
        <w:t xml:space="preserve"> common in genomic regions with LORe. Further, the ohnolog-tetrads where three, or all four of the duplicates were in different tissue-expression clusters were grouped into a 6th ‘unclassified’ category.</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applying a gene tree topology-based filtering </w:t>
      </w:r>
      <w:r>
        <w:rPr>
          <w:rFonts w:ascii="Times New Roman" w:eastAsia="Times New Roman" w:hAnsi="Times New Roman" w:cs="Times New Roman"/>
          <w:sz w:val="24"/>
          <w:szCs w:val="24"/>
        </w:rPr>
        <w:t>criterion to the 5,070 ohnolog-tetrads (see Methods), 509 conforming to the expectations of LORe and 3,480 conforming to AORe gene tree topologies were retained for further analyses. Of the five evolutionary scenarios, conserved tissue regulation was the m</w:t>
      </w:r>
      <w:r>
        <w:rPr>
          <w:rFonts w:ascii="Times New Roman" w:eastAsia="Times New Roman" w:hAnsi="Times New Roman" w:cs="Times New Roman"/>
          <w:sz w:val="24"/>
          <w:szCs w:val="24"/>
        </w:rPr>
        <w:t>ost common (~25%), followed by species-specific divergence of a single duplicate (~11% in Atlantic salmon and ~15% in grayling). Category (I) and (V) were the least common categories (Table 2), and as expected, category (V) was significantly enriched in LO</w:t>
      </w:r>
      <w:r>
        <w:rPr>
          <w:rFonts w:ascii="Times New Roman" w:eastAsia="Times New Roman" w:hAnsi="Times New Roman" w:cs="Times New Roman"/>
          <w:sz w:val="24"/>
          <w:szCs w:val="24"/>
        </w:rPr>
        <w:t>Re regions (Fisher’s exact test, two-sided, p-value &lt; 0.0005).</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94025" w:rsidRDefault="00571EC0">
      <w:pPr>
        <w:widowControl w:val="0"/>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2</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Classification of tissue expression divergence in the ohnolog-tetrads. The number and percentages of genes in each category calculated based on the total number of topology-filtered o</w:t>
      </w:r>
      <w:r>
        <w:rPr>
          <w:rFonts w:ascii="Times New Roman" w:eastAsia="Times New Roman" w:hAnsi="Times New Roman" w:cs="Times New Roman"/>
          <w:b/>
          <w:sz w:val="20"/>
          <w:szCs w:val="20"/>
        </w:rPr>
        <w:t>hnolog-tetrads.</w:t>
      </w:r>
    </w:p>
    <w:tbl>
      <w:tblPr>
        <w:tblStyle w:val="a0"/>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1320"/>
        <w:gridCol w:w="1215"/>
      </w:tblGrid>
      <w:tr w:rsidR="00E94025">
        <w:tc>
          <w:tcPr>
            <w:tcW w:w="648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Evolutionary scenario</w:t>
            </w:r>
          </w:p>
        </w:tc>
        <w:tc>
          <w:tcPr>
            <w:tcW w:w="13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AORe</w:t>
            </w:r>
          </w:p>
        </w:tc>
        <w:tc>
          <w:tcPr>
            <w:tcW w:w="121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LORe</w:t>
            </w:r>
          </w:p>
        </w:tc>
      </w:tr>
      <w:tr w:rsidR="00E94025">
        <w:tc>
          <w:tcPr>
            <w:tcW w:w="648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b/>
                <w:sz w:val="20"/>
                <w:szCs w:val="20"/>
              </w:rPr>
              <w:t xml:space="preserve">(I) </w:t>
            </w:r>
            <w:r>
              <w:rPr>
                <w:rFonts w:ascii="Times New Roman" w:eastAsia="Times New Roman" w:hAnsi="Times New Roman" w:cs="Times New Roman"/>
                <w:i/>
                <w:sz w:val="20"/>
                <w:szCs w:val="20"/>
              </w:rPr>
              <w:t>Ancestral ohnolog divergence followed by purifying selection independently in both species</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199 (5.7%)</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 (4.7%)</w:t>
            </w:r>
          </w:p>
        </w:tc>
      </w:tr>
      <w:tr w:rsidR="00E94025">
        <w:tc>
          <w:tcPr>
            <w:tcW w:w="648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r>
              <w:rPr>
                <w:rFonts w:ascii="Times New Roman" w:eastAsia="Times New Roman" w:hAnsi="Times New Roman" w:cs="Times New Roman"/>
                <w:i/>
                <w:sz w:val="20"/>
                <w:szCs w:val="20"/>
              </w:rPr>
              <w:t xml:space="preserve"> Conserved tissue regulation of all ohnologs.</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869 (25%)</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131 (25.7%)</w:t>
            </w:r>
          </w:p>
        </w:tc>
      </w:tr>
      <w:tr w:rsidR="00E94025">
        <w:tc>
          <w:tcPr>
            <w:tcW w:w="648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b/>
                <w:sz w:val="20"/>
                <w:szCs w:val="20"/>
              </w:rPr>
              <w:t xml:space="preserve">(III) </w:t>
            </w:r>
            <w:r>
              <w:rPr>
                <w:rFonts w:ascii="Times New Roman" w:eastAsia="Times New Roman" w:hAnsi="Times New Roman" w:cs="Times New Roman"/>
                <w:i/>
                <w:sz w:val="20"/>
                <w:szCs w:val="20"/>
                <w:highlight w:val="yellow"/>
              </w:rPr>
              <w:t>Atlantic salmon-specific divergence of one ohnolog</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375 (10.8%)</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70 (13.8%)</w:t>
            </w:r>
          </w:p>
        </w:tc>
      </w:tr>
      <w:tr w:rsidR="00E94025">
        <w:tc>
          <w:tcPr>
            <w:tcW w:w="648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i/>
                <w:sz w:val="20"/>
                <w:szCs w:val="20"/>
                <w:highlight w:val="yellow"/>
              </w:rPr>
            </w:pPr>
            <w:r>
              <w:rPr>
                <w:rFonts w:ascii="Times New Roman" w:eastAsia="Times New Roman" w:hAnsi="Times New Roman" w:cs="Times New Roman"/>
                <w:b/>
                <w:sz w:val="20"/>
                <w:szCs w:val="20"/>
              </w:rPr>
              <w:t xml:space="preserve">(IV) </w:t>
            </w:r>
            <w:r>
              <w:rPr>
                <w:rFonts w:ascii="Times New Roman" w:eastAsia="Times New Roman" w:hAnsi="Times New Roman" w:cs="Times New Roman"/>
                <w:i/>
                <w:sz w:val="20"/>
                <w:szCs w:val="20"/>
                <w:highlight w:val="yellow"/>
              </w:rPr>
              <w:t>Grayling-specific divergence of one ohnolog</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516 (14.8%)</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 (15.7%)</w:t>
            </w:r>
          </w:p>
        </w:tc>
      </w:tr>
      <w:tr w:rsidR="00E94025">
        <w:tc>
          <w:tcPr>
            <w:tcW w:w="648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(V) </w:t>
            </w:r>
            <w:r>
              <w:rPr>
                <w:rFonts w:ascii="Times New Roman" w:eastAsia="Times New Roman" w:hAnsi="Times New Roman" w:cs="Times New Roman"/>
                <w:i/>
                <w:sz w:val="20"/>
                <w:szCs w:val="20"/>
              </w:rPr>
              <w:t>Conserved</w:t>
            </w:r>
            <w:r>
              <w:rPr>
                <w:rFonts w:ascii="Times New Roman" w:eastAsia="Times New Roman" w:hAnsi="Times New Roman" w:cs="Times New Roman"/>
                <w:i/>
                <w:sz w:val="20"/>
                <w:szCs w:val="20"/>
                <w:highlight w:val="yellow"/>
              </w:rPr>
              <w:t xml:space="preserve"> </w:t>
            </w:r>
            <w:r>
              <w:rPr>
                <w:rFonts w:ascii="Times New Roman" w:eastAsia="Times New Roman" w:hAnsi="Times New Roman" w:cs="Times New Roman"/>
                <w:i/>
                <w:sz w:val="20"/>
                <w:szCs w:val="20"/>
              </w:rPr>
              <w:t>tissue regulation among ohnologs within species but different between species</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195 (5.6%)</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 (10.0%)</w:t>
            </w:r>
          </w:p>
        </w:tc>
      </w:tr>
      <w:tr w:rsidR="00E94025">
        <w:tc>
          <w:tcPr>
            <w:tcW w:w="648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highlight w:val="yellow"/>
              </w:rPr>
            </w:pPr>
            <w:r>
              <w:rPr>
                <w:rFonts w:ascii="Times New Roman" w:eastAsia="Times New Roman" w:hAnsi="Times New Roman" w:cs="Times New Roman"/>
                <w:b/>
                <w:sz w:val="20"/>
                <w:szCs w:val="20"/>
                <w:highlight w:val="yellow"/>
              </w:rPr>
              <w:lastRenderedPageBreak/>
              <w:t>(VI)</w:t>
            </w:r>
            <w:r>
              <w:rPr>
                <w:rFonts w:ascii="Times New Roman" w:eastAsia="Times New Roman" w:hAnsi="Times New Roman" w:cs="Times New Roman"/>
                <w:b/>
                <w:sz w:val="20"/>
                <w:szCs w:val="20"/>
              </w:rPr>
              <w:t xml:space="preserve"> Unclassified:</w:t>
            </w:r>
            <w:r>
              <w:rPr>
                <w:rFonts w:ascii="Times New Roman" w:eastAsia="Times New Roman" w:hAnsi="Times New Roman" w:cs="Times New Roman"/>
                <w:i/>
                <w:sz w:val="20"/>
                <w:szCs w:val="20"/>
              </w:rPr>
              <w:t xml:space="preserve"> Ohnolog-tetrads </w:t>
            </w:r>
            <w:r>
              <w:rPr>
                <w:rFonts w:ascii="Times New Roman" w:eastAsia="Times New Roman" w:hAnsi="Times New Roman" w:cs="Times New Roman"/>
                <w:i/>
                <w:sz w:val="20"/>
                <w:szCs w:val="20"/>
                <w:highlight w:val="yellow"/>
              </w:rPr>
              <w:t>assigned to three or more different tissue clusters</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1326 (38.1%)</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153 (30.1%)</w:t>
            </w:r>
          </w:p>
        </w:tc>
      </w:tr>
      <w:tr w:rsidR="00E94025">
        <w:tc>
          <w:tcPr>
            <w:tcW w:w="648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3480</w:t>
            </w:r>
          </w:p>
        </w:tc>
        <w:tc>
          <w:tcPr>
            <w:tcW w:w="1215" w:type="dxa"/>
            <w:tcBorders>
              <w:bottom w:val="single" w:sz="8" w:space="0" w:color="000000"/>
              <w:right w:val="single" w:sz="8" w:space="0" w:color="000000"/>
            </w:tcBorders>
            <w:shd w:val="clear" w:color="auto" w:fill="auto"/>
            <w:tcMar>
              <w:top w:w="100" w:type="dxa"/>
              <w:left w:w="100" w:type="dxa"/>
              <w:bottom w:w="100" w:type="dxa"/>
              <w:right w:w="100" w:type="dxa"/>
            </w:tcMar>
          </w:tcPr>
          <w:p w:rsidR="00E94025" w:rsidRDefault="00571EC0">
            <w:pPr>
              <w:widowControl w:val="0"/>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509</w:t>
            </w:r>
          </w:p>
        </w:tc>
      </w:tr>
    </w:tbl>
    <w:p w:rsidR="00E94025" w:rsidRDefault="00E94025">
      <w:pPr>
        <w:widowControl w:val="0"/>
        <w:spacing w:line="360" w:lineRule="auto"/>
        <w:jc w:val="both"/>
        <w:rPr>
          <w:rFonts w:ascii="Times New Roman" w:eastAsia="Times New Roman" w:hAnsi="Times New Roman" w:cs="Times New Roman"/>
          <w:b/>
          <w:sz w:val="20"/>
          <w:szCs w:val="20"/>
        </w:rPr>
      </w:pPr>
    </w:p>
    <w:p w:rsidR="00E94025" w:rsidRDefault="00571EC0">
      <w:pPr>
        <w:widowControl w:val="0"/>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extent cx="5734050" cy="5575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734050" cy="5575300"/>
                    </a:xfrm>
                    <a:prstGeom prst="rect">
                      <a:avLst/>
                    </a:prstGeom>
                    <a:ln/>
                  </pic:spPr>
                </pic:pic>
              </a:graphicData>
            </a:graphic>
          </wp:inline>
        </w:drawing>
      </w:r>
    </w:p>
    <w:p w:rsidR="00E94025" w:rsidRDefault="00571EC0" w:rsidP="00600B13">
      <w:pPr>
        <w:widowControl w:val="0"/>
        <w:spacing w:line="360" w:lineRule="auto"/>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3: Selection on tissue expression regulation after whole genome duplication. </w:t>
      </w:r>
    </w:p>
    <w:p w:rsidR="00E94025" w:rsidRDefault="00571EC0">
      <w:pPr>
        <w:widowControl w:val="0"/>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Heatmaps show clustering of tissue expression of the ohnolog-tetrads for each of the five evolutionary scenarios of tissue expression regulation following Ss4R WGD (see Table 2). Within each category,</w:t>
      </w:r>
      <w:bookmarkStart w:id="0" w:name="_GoBack"/>
      <w:bookmarkEnd w:id="0"/>
      <w:r>
        <w:rPr>
          <w:rFonts w:ascii="Times New Roman" w:eastAsia="Times New Roman" w:hAnsi="Times New Roman" w:cs="Times New Roman"/>
          <w:sz w:val="20"/>
          <w:szCs w:val="20"/>
        </w:rPr>
        <w:t xml:space="preserve"> the first four heatmaps </w:t>
      </w:r>
      <w:r>
        <w:rPr>
          <w:rFonts w:ascii="Times New Roman" w:eastAsia="Times New Roman" w:hAnsi="Times New Roman" w:cs="Times New Roman"/>
          <w:sz w:val="20"/>
          <w:szCs w:val="20"/>
          <w:highlight w:val="yellow"/>
        </w:rPr>
        <w:t>represent</w:t>
      </w:r>
      <w:r>
        <w:rPr>
          <w:rFonts w:ascii="Times New Roman" w:eastAsia="Times New Roman" w:hAnsi="Times New Roman" w:cs="Times New Roman"/>
          <w:sz w:val="20"/>
          <w:szCs w:val="20"/>
        </w:rPr>
        <w:t xml:space="preserve"> one ohnolog-tetrad (</w:t>
      </w:r>
      <w:r>
        <w:rPr>
          <w:rFonts w:ascii="Times New Roman" w:eastAsia="Times New Roman" w:hAnsi="Times New Roman" w:cs="Times New Roman"/>
          <w:sz w:val="20"/>
          <w:szCs w:val="20"/>
          <w:highlight w:val="yellow"/>
        </w:rPr>
        <w:t>i.e,</w:t>
      </w:r>
      <w:r>
        <w:rPr>
          <w:rFonts w:ascii="Times New Roman" w:eastAsia="Times New Roman" w:hAnsi="Times New Roman" w:cs="Times New Roman"/>
          <w:sz w:val="20"/>
          <w:szCs w:val="20"/>
        </w:rPr>
        <w:t xml:space="preserve"> four genes : salmon1, grayling1, salmon2 and grayling2), that were ordered based on similarity of expression profiles with the corresponding orthologs in Northern pike (the fifth heatmap depicted on the right). Darker red correspo</w:t>
      </w:r>
      <w:r>
        <w:rPr>
          <w:rFonts w:ascii="Times New Roman" w:eastAsia="Times New Roman" w:hAnsi="Times New Roman" w:cs="Times New Roman"/>
          <w:sz w:val="20"/>
          <w:szCs w:val="20"/>
        </w:rPr>
        <w:t>nds to the highest expression level observed for one gene, and the darker blue to the lowest (scaled counts per million, CPM). Connecting blue lines below the heatmaps indicate duplicates belonging to the same tissue clusters (conserved expression pattern)</w:t>
      </w:r>
      <w:r>
        <w:rPr>
          <w:rFonts w:ascii="Times New Roman" w:eastAsia="Times New Roman" w:hAnsi="Times New Roman" w:cs="Times New Roman"/>
          <w:sz w:val="20"/>
          <w:szCs w:val="20"/>
        </w:rPr>
        <w:t>. (An extended figure with ohnolog-tetrads subdivided into LORe and AORe in Supplementary Figure S6)</w:t>
      </w:r>
    </w:p>
    <w:p w:rsidR="00E94025" w:rsidRDefault="00E94025">
      <w:pPr>
        <w:widowControl w:val="0"/>
        <w:spacing w:line="360" w:lineRule="auto"/>
        <w:jc w:val="both"/>
        <w:rPr>
          <w:rFonts w:ascii="Times New Roman" w:eastAsia="Times New Roman" w:hAnsi="Times New Roman" w:cs="Times New Roman"/>
          <w:sz w:val="24"/>
          <w:szCs w:val="24"/>
        </w:rPr>
      </w:pP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directionality of the expression divergence relative to the presumed ancestral state, we compared tissue expression of the ohnolog-tetrads t</w:t>
      </w:r>
      <w:r>
        <w:rPr>
          <w:rFonts w:ascii="Times New Roman" w:eastAsia="Times New Roman" w:hAnsi="Times New Roman" w:cs="Times New Roman"/>
          <w:sz w:val="24"/>
          <w:szCs w:val="24"/>
        </w:rPr>
        <w:t xml:space="preserve">o that of the corresponding orthologs in Northern pike (Figure 3). Previous studies have shown that genome-wide tissue-specific expression divergence among WGD ohnologs in teleosts mostly evolve through asymmetric divergence in tissue regulation </w:t>
      </w:r>
      <w:hyperlink r:id="rId38">
        <w:r>
          <w:rPr>
            <w:rFonts w:ascii="Times New Roman" w:eastAsia="Times New Roman" w:hAnsi="Times New Roman" w:cs="Times New Roman"/>
            <w:color w:val="1155CC"/>
            <w:sz w:val="24"/>
            <w:szCs w:val="24"/>
            <w:u w:val="single"/>
          </w:rPr>
          <w:t>(Lien et al. 2016; Sandve et al. 2018)</w:t>
        </w:r>
      </w:hyperlink>
      <w:r>
        <w:rPr>
          <w:rFonts w:ascii="Times New Roman" w:eastAsia="Times New Roman" w:hAnsi="Times New Roman" w:cs="Times New Roman"/>
          <w:sz w:val="24"/>
          <w:szCs w:val="24"/>
        </w:rPr>
        <w:t>. The predominant expression pattern thus reflects one ohnolog copy retaining more regulatory similarity with unduplicated orthologs (regulatory neo-functionalizatio</w:t>
      </w:r>
      <w:r>
        <w:rPr>
          <w:rFonts w:ascii="Times New Roman" w:eastAsia="Times New Roman" w:hAnsi="Times New Roman" w:cs="Times New Roman"/>
          <w:sz w:val="24"/>
          <w:szCs w:val="24"/>
        </w:rPr>
        <w:t xml:space="preserve">n), with very small proportion (&lt;1%) of ohnologs displaying characteristics of regulatory sub-functionalization </w:t>
      </w:r>
      <w:hyperlink r:id="rId39">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Under a model of sub-functionalization, the sum of expression levels </w:t>
      </w:r>
      <w:r>
        <w:rPr>
          <w:rFonts w:ascii="Times New Roman" w:eastAsia="Times New Roman" w:hAnsi="Times New Roman" w:cs="Times New Roman"/>
          <w:sz w:val="24"/>
          <w:szCs w:val="24"/>
        </w:rPr>
        <w:t>of both ohnologs should correlate better to the assumed ancestral expression regulation than any of the individual ohnologs</w:t>
      </w:r>
      <w:r>
        <w:rPr>
          <w:rFonts w:ascii="Times New Roman" w:eastAsia="Times New Roman" w:hAnsi="Times New Roman" w:cs="Times New Roman"/>
          <w:sz w:val="24"/>
          <w:szCs w:val="24"/>
          <w:highlight w:val="yellow"/>
        </w:rPr>
        <w:t xml:space="preserve"> </w:t>
      </w:r>
      <w:hyperlink r:id="rId40">
        <w:r>
          <w:rPr>
            <w:rFonts w:ascii="Times New Roman" w:eastAsia="Times New Roman" w:hAnsi="Times New Roman" w:cs="Times New Roman"/>
            <w:color w:val="1155CC"/>
            <w:sz w:val="24"/>
            <w:szCs w:val="24"/>
            <w:u w:val="single"/>
          </w:rPr>
          <w:t>(Sandve et al. 2018)</w:t>
        </w:r>
      </w:hyperlink>
      <w:r>
        <w:rPr>
          <w:rFonts w:ascii="Times New Roman" w:eastAsia="Times New Roman" w:hAnsi="Times New Roman" w:cs="Times New Roman"/>
          <w:sz w:val="24"/>
          <w:szCs w:val="24"/>
        </w:rPr>
        <w:t>. Therefore, we tested if the divergence patterns leading</w:t>
      </w:r>
      <w:r>
        <w:rPr>
          <w:rFonts w:ascii="Times New Roman" w:eastAsia="Times New Roman" w:hAnsi="Times New Roman" w:cs="Times New Roman"/>
          <w:sz w:val="24"/>
          <w:szCs w:val="24"/>
        </w:rPr>
        <w:t xml:space="preserve"> to maintenance of the two ohnolog copies in the category (I) tetrads are associated with this atypical mode of expression divergence. Both the distribution of ohnolog tissue expression correlations (Supplementary Figure S7), and the patterns in the heatma</w:t>
      </w:r>
      <w:r>
        <w:rPr>
          <w:rFonts w:ascii="Times New Roman" w:eastAsia="Times New Roman" w:hAnsi="Times New Roman" w:cs="Times New Roman"/>
          <w:sz w:val="24"/>
          <w:szCs w:val="24"/>
        </w:rPr>
        <w:t xml:space="preserve">ps (Figure 3), support the regulatory neo-functionalization pattern for all three evolutionary scenarios where we observe ohnolog divergence (category I, III and IV). </w:t>
      </w:r>
    </w:p>
    <w:p w:rsidR="00E94025" w:rsidRDefault="00571EC0">
      <w:pPr>
        <w:widowControl w:val="0"/>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As different tissues are involved in different biological functions, we expect that the </w:t>
      </w:r>
      <w:r>
        <w:rPr>
          <w:rFonts w:ascii="Times New Roman" w:eastAsia="Times New Roman" w:hAnsi="Times New Roman" w:cs="Times New Roman"/>
          <w:sz w:val="24"/>
          <w:szCs w:val="24"/>
        </w:rPr>
        <w:t xml:space="preserve">regulatory evolution is shaped by tissue-specific selective pressures </w:t>
      </w:r>
      <w:hyperlink r:id="rId41">
        <w:r>
          <w:rPr>
            <w:rFonts w:ascii="Times New Roman" w:eastAsia="Times New Roman" w:hAnsi="Times New Roman" w:cs="Times New Roman"/>
            <w:color w:val="1155CC"/>
            <w:sz w:val="24"/>
            <w:szCs w:val="24"/>
            <w:u w:val="single"/>
          </w:rPr>
          <w:t>(Gu and Su 2007)</w:t>
        </w:r>
      </w:hyperlink>
      <w:r>
        <w:rPr>
          <w:rFonts w:ascii="Times New Roman" w:eastAsia="Times New Roman" w:hAnsi="Times New Roman" w:cs="Times New Roman"/>
          <w:sz w:val="24"/>
          <w:szCs w:val="24"/>
        </w:rPr>
        <w:t>. To test this, we evaluated the hypothesis that tissues are disproportionately contributing to ohnolog-tetrad div</w:t>
      </w:r>
      <w:r>
        <w:rPr>
          <w:rFonts w:ascii="Times New Roman" w:eastAsia="Times New Roman" w:hAnsi="Times New Roman" w:cs="Times New Roman"/>
          <w:sz w:val="24"/>
          <w:szCs w:val="24"/>
        </w:rPr>
        <w:t>ergence by comparing the “tissue dominant” cluster distribution across all tetrads. For all evolutionary scenarios, between 2-5 tissue-expression clusters were significantly over- or underrepresented (Fisher’s tests, two sided, Bonferroni corrected p-value</w:t>
      </w:r>
      <w:r>
        <w:rPr>
          <w:rFonts w:ascii="Times New Roman" w:eastAsia="Times New Roman" w:hAnsi="Times New Roman" w:cs="Times New Roman"/>
          <w:sz w:val="24"/>
          <w:szCs w:val="24"/>
        </w:rPr>
        <w:t>&lt;=0.05), with the conserved category being the most skewed in tissue representation with a strong bias towards brain-specific expression (Supplementary Table S4). The high tissue-specificity (Tau score) of genes in ohnolog-tetrads associated with these gen</w:t>
      </w:r>
      <w:r>
        <w:rPr>
          <w:rFonts w:ascii="Times New Roman" w:eastAsia="Times New Roman" w:hAnsi="Times New Roman" w:cs="Times New Roman"/>
          <w:sz w:val="24"/>
          <w:szCs w:val="24"/>
        </w:rPr>
        <w:t>e</w:t>
      </w:r>
      <w:r>
        <w:rPr>
          <w:rFonts w:ascii="Times New Roman" w:eastAsia="Times New Roman" w:hAnsi="Times New Roman" w:cs="Times New Roman"/>
          <w:sz w:val="24"/>
          <w:szCs w:val="24"/>
          <w:highlight w:val="yellow"/>
        </w:rPr>
        <w:t xml:space="preserve">s </w:t>
      </w:r>
      <w:r>
        <w:rPr>
          <w:rFonts w:ascii="Times New Roman" w:eastAsia="Times New Roman" w:hAnsi="Times New Roman" w:cs="Times New Roman"/>
          <w:sz w:val="24"/>
          <w:szCs w:val="24"/>
        </w:rPr>
        <w:t>(Supplementary Figure S8) corroborates the observed brain-specific expression bias.</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we tested whether distinct ohnolog-tetrad divergence categories </w:t>
      </w:r>
      <w:r>
        <w:rPr>
          <w:rFonts w:ascii="Times New Roman" w:eastAsia="Times New Roman" w:hAnsi="Times New Roman" w:cs="Times New Roman"/>
          <w:color w:val="333333"/>
          <w:sz w:val="24"/>
          <w:szCs w:val="24"/>
          <w:highlight w:val="white"/>
        </w:rPr>
        <w:t>were coupled to patterns of protein-coding and promoter sequence evolution.</w:t>
      </w:r>
      <w:r>
        <w:rPr>
          <w:rFonts w:ascii="Times New Roman" w:eastAsia="Times New Roman" w:hAnsi="Times New Roman" w:cs="Times New Roman"/>
          <w:sz w:val="24"/>
          <w:szCs w:val="24"/>
        </w:rPr>
        <w:t xml:space="preserve"> Specifically, we tes</w:t>
      </w:r>
      <w:r>
        <w:rPr>
          <w:rFonts w:ascii="Times New Roman" w:eastAsia="Times New Roman" w:hAnsi="Times New Roman" w:cs="Times New Roman"/>
          <w:sz w:val="24"/>
          <w:szCs w:val="24"/>
        </w:rPr>
        <w:t>ted the hypothesis that conserved regulation is associated with conserved protein coding evolution. We estimated the dN/dS ratios for each duplicate pair within each species and compared the distribution of dN/dS statistics in each class with that of the</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rPr>
        <w:t>unclassified’ category (VI)</w:t>
      </w:r>
      <w:r>
        <w:rPr>
          <w:rFonts w:ascii="Times New Roman" w:eastAsia="Times New Roman" w:hAnsi="Times New Roman" w:cs="Times New Roman"/>
          <w:sz w:val="24"/>
          <w:szCs w:val="24"/>
        </w:rPr>
        <w:t xml:space="preserve"> (Supplementary Figure S9). Low dN/dS (&lt;&lt;1) indicates strong purifying selection pressure. Categories I-V show variability in among-ohnolog dN/dS ratios, with category (I) having </w:t>
      </w:r>
      <w:r>
        <w:rPr>
          <w:rFonts w:ascii="Times New Roman" w:eastAsia="Times New Roman" w:hAnsi="Times New Roman" w:cs="Times New Roman"/>
          <w:sz w:val="24"/>
          <w:szCs w:val="24"/>
        </w:rPr>
        <w:lastRenderedPageBreak/>
        <w:t>significantly higher dN/dS ratio compared to the ‘</w:t>
      </w:r>
      <w:r>
        <w:rPr>
          <w:rFonts w:ascii="Times New Roman" w:eastAsia="Times New Roman" w:hAnsi="Times New Roman" w:cs="Times New Roman"/>
          <w:sz w:val="24"/>
          <w:szCs w:val="24"/>
        </w:rPr>
        <w:t>Unclassified’ category (Wilcoxon rank sum, p=0.005) and categories (II) and (V) having significantly lower dN/dS ratios (Wilcoxon rank sum, p=0.014 and p=0.0017, respectively). The ohnolog pairs showing lineage-specific expression divergence (III and IV) d</w:t>
      </w:r>
      <w:r>
        <w:rPr>
          <w:rFonts w:ascii="Times New Roman" w:eastAsia="Times New Roman" w:hAnsi="Times New Roman" w:cs="Times New Roman"/>
          <w:sz w:val="24"/>
          <w:szCs w:val="24"/>
        </w:rPr>
        <w:t xml:space="preserve">id not have a significantly different dN/dS ratio compared to the </w:t>
      </w:r>
      <w:r>
        <w:rPr>
          <w:rFonts w:ascii="Times New Roman" w:eastAsia="Times New Roman" w:hAnsi="Times New Roman" w:cs="Times New Roman"/>
          <w:sz w:val="24"/>
          <w:szCs w:val="24"/>
          <w:highlight w:val="yellow"/>
        </w:rPr>
        <w:t>unclassified</w:t>
      </w:r>
      <w:r>
        <w:rPr>
          <w:rFonts w:ascii="Times New Roman" w:eastAsia="Times New Roman" w:hAnsi="Times New Roman" w:cs="Times New Roman"/>
          <w:sz w:val="24"/>
          <w:szCs w:val="24"/>
        </w:rPr>
        <w:t xml:space="preserve"> category (Wilcoxon rank test, p-values=0.36 and 0.26, respectively). Further, we used the Atlantic salmon genome to annotate and compare known transcription factor motifs diverg</w:t>
      </w:r>
      <w:r>
        <w:rPr>
          <w:rFonts w:ascii="Times New Roman" w:eastAsia="Times New Roman" w:hAnsi="Times New Roman" w:cs="Times New Roman"/>
          <w:sz w:val="24"/>
          <w:szCs w:val="24"/>
        </w:rPr>
        <w:t>ence in the promoters (from 1000 bp upstream to 200 bp downstream of the transcription start site) of ohnologs. Under the assumption that expression divergence is, at least partly, driven by changes in transcription factor binding motifs located in proxima</w:t>
      </w:r>
      <w:r>
        <w:rPr>
          <w:rFonts w:ascii="Times New Roman" w:eastAsia="Times New Roman" w:hAnsi="Times New Roman" w:cs="Times New Roman"/>
          <w:sz w:val="24"/>
          <w:szCs w:val="24"/>
        </w:rPr>
        <w:t>l promoters, we tested if ohnolog regulatory divergence in</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salmon ( </w:t>
      </w:r>
      <w:r>
        <w:rPr>
          <w:rFonts w:ascii="Times New Roman" w:eastAsia="Times New Roman" w:hAnsi="Times New Roman" w:cs="Times New Roman"/>
          <w:sz w:val="24"/>
          <w:szCs w:val="24"/>
          <w:highlight w:val="yellow"/>
        </w:rPr>
        <w:t>scenario I and III</w:t>
      </w:r>
      <w:r>
        <w:rPr>
          <w:rFonts w:ascii="Times New Roman" w:eastAsia="Times New Roman" w:hAnsi="Times New Roman" w:cs="Times New Roman"/>
          <w:sz w:val="24"/>
          <w:szCs w:val="24"/>
        </w:rPr>
        <w:t>) was associated with divergence of promoter motifs. Indeed, the results add validation to the different expression evolution classifications (Supplementary Figure S10</w:t>
      </w:r>
      <w:r>
        <w:rPr>
          <w:rFonts w:ascii="Times New Roman" w:eastAsia="Times New Roman" w:hAnsi="Times New Roman" w:cs="Times New Roman"/>
          <w:sz w:val="24"/>
          <w:szCs w:val="24"/>
        </w:rPr>
        <w:t>), with categories (I) and (III) having significantly less similar promoter motif content compared to ohnolog-tetrads with conserved tissue expression regulation in salmon (II, IV and V) (Wilcoxon test all contrasts between I/III and II/IV/V, p&lt;0.04-0.002)</w:t>
      </w:r>
      <w:r>
        <w:rPr>
          <w:rFonts w:ascii="Times New Roman" w:eastAsia="Times New Roman" w:hAnsi="Times New Roman" w:cs="Times New Roman"/>
          <w:sz w:val="24"/>
          <w:szCs w:val="24"/>
        </w:rPr>
        <w:t>.</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if the ohnologs in different classes were associated with distinct biological functions, we performed GO term enrichment tests. The ohnolog-tetrads of category (II) under strict selective constraints show highly brain-specific expression and </w:t>
      </w:r>
      <w:r>
        <w:rPr>
          <w:rFonts w:ascii="Times New Roman" w:eastAsia="Times New Roman" w:hAnsi="Times New Roman" w:cs="Times New Roman"/>
          <w:sz w:val="24"/>
          <w:szCs w:val="24"/>
        </w:rPr>
        <w:t>are enriched for GO functions related to behaviour and neural functions. In contrast, genes in category (I), which represents ohnologs that underwent divergence in gene regulation following WGD, are associated with functions related to lipid metabolism, de</w:t>
      </w:r>
      <w:r>
        <w:rPr>
          <w:rFonts w:ascii="Times New Roman" w:eastAsia="Times New Roman" w:hAnsi="Times New Roman" w:cs="Times New Roman"/>
          <w:sz w:val="24"/>
          <w:szCs w:val="24"/>
        </w:rPr>
        <w:t xml:space="preserve">velopment, and immune system (Supplementary file 2). </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Highly connected genes in protein-protein interaction</w:t>
      </w:r>
      <w:r>
        <w:rPr>
          <w:rFonts w:ascii="Times New Roman" w:eastAsia="Times New Roman" w:hAnsi="Times New Roman" w:cs="Times New Roman"/>
          <w:sz w:val="24"/>
          <w:szCs w:val="24"/>
          <w:highlight w:val="yellow"/>
        </w:rPr>
        <w:t xml:space="preserve"> (PPI) </w:t>
      </w:r>
      <w:r>
        <w:rPr>
          <w:rFonts w:ascii="Times New Roman" w:eastAsia="Times New Roman" w:hAnsi="Times New Roman" w:cs="Times New Roman"/>
          <w:sz w:val="24"/>
          <w:szCs w:val="24"/>
        </w:rPr>
        <w:t xml:space="preserve">networks are often placed under strong constraints to maintain stoichiometry </w:t>
      </w:r>
      <w:hyperlink r:id="rId42">
        <w:r>
          <w:rPr>
            <w:rFonts w:ascii="Times New Roman" w:eastAsia="Times New Roman" w:hAnsi="Times New Roman" w:cs="Times New Roman"/>
            <w:color w:val="1155CC"/>
            <w:sz w:val="24"/>
            <w:szCs w:val="24"/>
            <w:u w:val="single"/>
          </w:rPr>
          <w:t>(Free</w:t>
        </w:r>
        <w:r>
          <w:rPr>
            <w:rFonts w:ascii="Times New Roman" w:eastAsia="Times New Roman" w:hAnsi="Times New Roman" w:cs="Times New Roman"/>
            <w:color w:val="1155CC"/>
            <w:sz w:val="24"/>
            <w:szCs w:val="24"/>
            <w:u w:val="single"/>
          </w:rPr>
          <w:t>ling and Thomas 2006; Sémon and Wolfe 2007)</w:t>
        </w:r>
      </w:hyperlink>
      <w:r>
        <w:rPr>
          <w:rFonts w:ascii="Times New Roman" w:eastAsia="Times New Roman" w:hAnsi="Times New Roman" w:cs="Times New Roman"/>
          <w:sz w:val="24"/>
          <w:szCs w:val="24"/>
        </w:rPr>
        <w:t xml:space="preserve">. To test if the strong constraints on the ohnolog-tetrads with conserved tissue expression (II) are associated with having higher protein-protein interactions, we extracted all the zebrafish genes from the </w:t>
      </w:r>
      <w:r>
        <w:rPr>
          <w:rFonts w:ascii="Times New Roman" w:eastAsia="Times New Roman" w:hAnsi="Times New Roman" w:cs="Times New Roman"/>
          <w:sz w:val="24"/>
          <w:szCs w:val="24"/>
          <w:highlight w:val="yellow"/>
        </w:rPr>
        <w:t>gene</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 xml:space="preserve">rees corresponding to the ohnologs in the expression divergence categories and queried them against the STRING database </w:t>
      </w:r>
      <w:hyperlink r:id="rId43">
        <w:r>
          <w:rPr>
            <w:rFonts w:ascii="Times New Roman" w:eastAsia="Times New Roman" w:hAnsi="Times New Roman" w:cs="Times New Roman"/>
            <w:color w:val="1155CC"/>
            <w:sz w:val="24"/>
            <w:szCs w:val="24"/>
            <w:u w:val="single"/>
          </w:rPr>
          <w:t>(Szklarczyk et al. 2017)</w:t>
        </w:r>
      </w:hyperlink>
      <w:r>
        <w:rPr>
          <w:rFonts w:ascii="Times New Roman" w:eastAsia="Times New Roman" w:hAnsi="Times New Roman" w:cs="Times New Roman"/>
          <w:sz w:val="24"/>
          <w:szCs w:val="24"/>
        </w:rPr>
        <w:t xml:space="preserve"> (version 10.5). Only associations with a score of above </w:t>
      </w:r>
      <w:r>
        <w:rPr>
          <w:rFonts w:ascii="Times New Roman" w:eastAsia="Times New Roman" w:hAnsi="Times New Roman" w:cs="Times New Roman"/>
          <w:sz w:val="24"/>
          <w:szCs w:val="24"/>
        </w:rPr>
        <w:t xml:space="preserve">7.0, suggesting high confidence associations, were retained. As expected, we found that category (II) genes were indeed enriched for PPI (enrichment p-value, </w:t>
      </w:r>
      <w:r>
        <w:rPr>
          <w:rFonts w:ascii="Times New Roman" w:eastAsia="Times New Roman" w:hAnsi="Times New Roman" w:cs="Times New Roman"/>
          <w:sz w:val="24"/>
          <w:szCs w:val="24"/>
          <w:highlight w:val="white"/>
        </w:rPr>
        <w:t xml:space="preserve">1.05e-05) in comparison to the genes in the other </w:t>
      </w:r>
      <w:r>
        <w:rPr>
          <w:rFonts w:ascii="Times New Roman" w:eastAsia="Times New Roman" w:hAnsi="Times New Roman" w:cs="Times New Roman"/>
          <w:sz w:val="24"/>
          <w:szCs w:val="24"/>
        </w:rPr>
        <w:t>classes</w:t>
      </w:r>
      <w:r>
        <w:rPr>
          <w:rFonts w:ascii="Times New Roman" w:eastAsia="Times New Roman" w:hAnsi="Times New Roman" w:cs="Times New Roman"/>
          <w:sz w:val="24"/>
          <w:szCs w:val="24"/>
          <w:highlight w:val="white"/>
        </w:rPr>
        <w:t xml:space="preserve"> (I, III and IV) </w:t>
      </w:r>
      <w:r>
        <w:rPr>
          <w:rFonts w:ascii="Times New Roman" w:eastAsia="Times New Roman" w:hAnsi="Times New Roman" w:cs="Times New Roman"/>
          <w:sz w:val="24"/>
          <w:szCs w:val="24"/>
        </w:rPr>
        <w:t>with diverged expression</w:t>
      </w:r>
      <w:r>
        <w:rPr>
          <w:rFonts w:ascii="Times New Roman" w:eastAsia="Times New Roman" w:hAnsi="Times New Roman" w:cs="Times New Roman"/>
          <w:sz w:val="24"/>
          <w:szCs w:val="24"/>
        </w:rPr>
        <w:t xml:space="preserve"> (enrichment p-value, 0.785). </w:t>
      </w:r>
    </w:p>
    <w:p w:rsidR="00E94025" w:rsidRDefault="00E94025">
      <w:pPr>
        <w:widowControl w:val="0"/>
        <w:spacing w:line="360" w:lineRule="auto"/>
        <w:jc w:val="both"/>
        <w:rPr>
          <w:rFonts w:ascii="Times New Roman" w:eastAsia="Times New Roman" w:hAnsi="Times New Roman" w:cs="Times New Roman"/>
          <w:b/>
          <w:i/>
          <w:sz w:val="24"/>
          <w:szCs w:val="24"/>
        </w:rPr>
      </w:pPr>
    </w:p>
    <w:p w:rsidR="00E94025" w:rsidRDefault="00571EC0" w:rsidP="00600B13">
      <w:pPr>
        <w:widowControl w:val="0"/>
        <w:spacing w:line="360" w:lineRule="auto"/>
        <w:jc w:val="both"/>
        <w:outlineLvl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Evolution of gene expression levels following WGD</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co-expression analyses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leverage gene expression variation between tissues to classify ohnologs according to regulatory divergence. However, it is important to note that i</w:t>
      </w:r>
      <w:r>
        <w:rPr>
          <w:rFonts w:ascii="Times New Roman" w:eastAsia="Times New Roman" w:hAnsi="Times New Roman" w:cs="Times New Roman"/>
          <w:sz w:val="24"/>
          <w:szCs w:val="24"/>
        </w:rPr>
        <w:t>t does not explicitly test for significant changes in gene expression levels. To assess the divergence of ohnolog expression levels, we generated an RNA-Seq dataset from additional liver samples from Atlantic salmon (n=4)</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and grayling (n=4). We tested for </w:t>
      </w:r>
      <w:r>
        <w:rPr>
          <w:rFonts w:ascii="Times New Roman" w:eastAsia="Times New Roman" w:hAnsi="Times New Roman" w:cs="Times New Roman"/>
          <w:sz w:val="24"/>
          <w:szCs w:val="24"/>
        </w:rPr>
        <w:t>differences in liver expression levels between ohnolog pairs within both species</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highlight w:val="yellow"/>
        </w:rPr>
        <w:t>calculated</w:t>
      </w:r>
      <w:r>
        <w:rPr>
          <w:rFonts w:ascii="Times New Roman" w:eastAsia="Times New Roman" w:hAnsi="Times New Roman" w:cs="Times New Roman"/>
          <w:sz w:val="24"/>
          <w:szCs w:val="24"/>
        </w:rPr>
        <w:t xml:space="preserve"> absolute differences in fold change (FC) and the statistical significance (FDR adjusted p-values) for these tests. Of the 2,467 ohnolog-tetrads in categories I-</w:t>
      </w:r>
      <w:r>
        <w:rPr>
          <w:rFonts w:ascii="Times New Roman" w:eastAsia="Times New Roman" w:hAnsi="Times New Roman" w:cs="Times New Roman"/>
          <w:sz w:val="24"/>
          <w:szCs w:val="24"/>
        </w:rPr>
        <w:t>V (Table 2), 54% (1,349) showed significant (FDR&lt;10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fold change differences (FC&gt;2) in liver expression in at least one species, with 19% (467) in both species, 18% (455) in grayling only, and 17% (427) in salmon only. </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then focussed on </w:t>
      </w:r>
      <w:r>
        <w:rPr>
          <w:rFonts w:ascii="Times New Roman" w:eastAsia="Times New Roman" w:hAnsi="Times New Roman" w:cs="Times New Roman"/>
          <w:sz w:val="24"/>
          <w:szCs w:val="24"/>
        </w:rPr>
        <w:t>the subset of ohnolog-tetrads where at least one ohnolog was assigned to an expression cluster displaying dominant expression in liver. From this subset of 552 ohnolog-tetrads, 80% (442) showed significant (FDR&lt;10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fold change differences (FC&gt;2) in liver</w:t>
      </w:r>
      <w:r>
        <w:rPr>
          <w:rFonts w:ascii="Times New Roman" w:eastAsia="Times New Roman" w:hAnsi="Times New Roman" w:cs="Times New Roman"/>
          <w:sz w:val="24"/>
          <w:szCs w:val="24"/>
        </w:rPr>
        <w:t xml:space="preserve"> expression in at least one species, 37% (204) both species, 25% (136) grayling only, and 18% (102) salmon only (Supplementary Table S5). As tissue-dominance is the main factor in the analyses of tissue-regulatory evolution, we expected that the different </w:t>
      </w:r>
      <w:r>
        <w:rPr>
          <w:rFonts w:ascii="Times New Roman" w:eastAsia="Times New Roman" w:hAnsi="Times New Roman" w:cs="Times New Roman"/>
          <w:sz w:val="24"/>
          <w:szCs w:val="24"/>
        </w:rPr>
        <w:t>evolutionary scenarios (Figure 3) should be associated with enrichments in certain patterns of expression level divergence, or alternatively, a lack thereof.</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We indeed found that the ohnolog-tetrads reflecting ancestral divergence followed by purifying sel</w:t>
      </w:r>
      <w:r>
        <w:rPr>
          <w:rFonts w:ascii="Times New Roman" w:eastAsia="Times New Roman" w:hAnsi="Times New Roman" w:cs="Times New Roman"/>
          <w:sz w:val="24"/>
          <w:szCs w:val="24"/>
        </w:rPr>
        <w:t>ection in both species (scenario I) were significantly enriched in ohnologs being expressed at different levels in both species compared to other scenarios (Figure 4a, Fisher’s test p-value=1.741x10</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Conversely, those ohnolog pairs that show shared tiss</w:t>
      </w:r>
      <w:r>
        <w:rPr>
          <w:rFonts w:ascii="Times New Roman" w:eastAsia="Times New Roman" w:hAnsi="Times New Roman" w:cs="Times New Roman"/>
          <w:sz w:val="24"/>
          <w:szCs w:val="24"/>
        </w:rPr>
        <w:t>ue regulatory patterns (scenarios II and V) were significantly enriched in ohnologs with no expression level divergence (p-values 0.0117 and 6.79x10</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Finally, ohnologs with tissue regulatory divergence in one species (scenario III and IV in Figure 3) al</w:t>
      </w:r>
      <w:r>
        <w:rPr>
          <w:rFonts w:ascii="Times New Roman" w:eastAsia="Times New Roman" w:hAnsi="Times New Roman" w:cs="Times New Roman"/>
          <w:sz w:val="24"/>
          <w:szCs w:val="24"/>
        </w:rPr>
        <w:t>so had the most pronounced enrichment of expression level divergence for that species (Figure 4a, p-values 3.324x10</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and 2.028x10</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Three examples of putative liver-specific expression gains showing high correspondence between tissue regulation and expr</w:t>
      </w:r>
      <w:r>
        <w:rPr>
          <w:rFonts w:ascii="Times New Roman" w:eastAsia="Times New Roman" w:hAnsi="Times New Roman" w:cs="Times New Roman"/>
          <w:sz w:val="24"/>
          <w:szCs w:val="24"/>
        </w:rPr>
        <w:t xml:space="preserve">ession level evolution are highlighted in Figure 4c-h. </w:t>
      </w:r>
    </w:p>
    <w:p w:rsidR="00E94025" w:rsidRDefault="00571EC0">
      <w:pPr>
        <w:widowControl w:val="0"/>
        <w:spacing w:line="360" w:lineRule="auto"/>
        <w:jc w:val="both"/>
        <w:rPr>
          <w:rFonts w:ascii="Times New Roman" w:eastAsia="Times New Roman" w:hAnsi="Times New Roman" w:cs="Times New Roman"/>
          <w:color w:val="FF00FF"/>
          <w:sz w:val="24"/>
          <w:szCs w:val="24"/>
        </w:rPr>
      </w:pPr>
      <w:r>
        <w:rPr>
          <w:rFonts w:ascii="Times New Roman" w:eastAsia="Times New Roman" w:hAnsi="Times New Roman" w:cs="Times New Roman"/>
          <w:sz w:val="24"/>
          <w:szCs w:val="24"/>
        </w:rPr>
        <w:t>Further, we assessed if liver-specific expression level differences between ohnologs were associated with changes in transcription factor binding motif presence in promoters. We partitioned the ohnolo</w:t>
      </w:r>
      <w:r>
        <w:rPr>
          <w:rFonts w:ascii="Times New Roman" w:eastAsia="Times New Roman" w:hAnsi="Times New Roman" w:cs="Times New Roman"/>
          <w:sz w:val="24"/>
          <w:szCs w:val="24"/>
        </w:rPr>
        <w:t>gs into three categories; differentially expressed in both species (likely diverged in expression in an ancestor of all salmonids), species-specific expression level divergence (we only used salmon-specific cases as we had no promoter motif data for grayli</w:t>
      </w:r>
      <w:r>
        <w:rPr>
          <w:rFonts w:ascii="Times New Roman" w:eastAsia="Times New Roman" w:hAnsi="Times New Roman" w:cs="Times New Roman"/>
          <w:sz w:val="24"/>
          <w:szCs w:val="24"/>
        </w:rPr>
        <w:t xml:space="preserve">ng), and no significant difference in expression level. The lowest promoter motif </w:t>
      </w:r>
      <w:r>
        <w:rPr>
          <w:rFonts w:ascii="Times New Roman" w:eastAsia="Times New Roman" w:hAnsi="Times New Roman" w:cs="Times New Roman"/>
          <w:sz w:val="24"/>
          <w:szCs w:val="24"/>
        </w:rPr>
        <w:lastRenderedPageBreak/>
        <w:t>similarity was found among ohnologs where both species showed strong expression level divergence, followed by the salmon-specific and then no expression divergence (Figure 4b</w:t>
      </w:r>
      <w:r>
        <w:rPr>
          <w:rFonts w:ascii="Times New Roman" w:eastAsia="Times New Roman" w:hAnsi="Times New Roman" w:cs="Times New Roman"/>
          <w:sz w:val="24"/>
          <w:szCs w:val="24"/>
        </w:rPr>
        <w:t xml:space="preserve">). </w:t>
      </w:r>
    </w:p>
    <w:p w:rsidR="00E94025" w:rsidRDefault="00571EC0">
      <w:pPr>
        <w:widowControl w:val="0"/>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114300" distB="114300" distL="114300" distR="114300">
            <wp:extent cx="5734050" cy="5562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734050" cy="5562600"/>
                    </a:xfrm>
                    <a:prstGeom prst="rect">
                      <a:avLst/>
                    </a:prstGeom>
                    <a:ln/>
                  </pic:spPr>
                </pic:pic>
              </a:graphicData>
            </a:graphic>
          </wp:inline>
        </w:drawing>
      </w:r>
    </w:p>
    <w:p w:rsidR="00E94025" w:rsidRDefault="00571EC0" w:rsidP="00600B13">
      <w:pPr>
        <w:widowControl w:val="0"/>
        <w:spacing w:line="360" w:lineRule="auto"/>
        <w:jc w:val="both"/>
        <w:outlineLv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Figure 4: Expression level evolution of the ohnolog-tetrads </w:t>
      </w:r>
    </w:p>
    <w:p w:rsidR="00E94025" w:rsidRDefault="00571EC0">
      <w:pPr>
        <w:widowControl w:val="0"/>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0"/>
          <w:szCs w:val="20"/>
        </w:rPr>
        <w:t>(a-b) Ohnolog-tetrads were tested using liver expression data for cases of highly significant differential expression (FDR adjusted p-value &lt;10</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absolute fold change &gt;2) between ohnologs </w:t>
      </w:r>
      <w:r>
        <w:rPr>
          <w:rFonts w:ascii="Times New Roman" w:eastAsia="Times New Roman" w:hAnsi="Times New Roman" w:cs="Times New Roman"/>
          <w:sz w:val="20"/>
          <w:szCs w:val="20"/>
        </w:rPr>
        <w:t>of both species (purple), grayling ohnologs only (blue), Atlantic salmon ohnologs only (green), and no onhologs of either species (black). Ohnolog tetrads shown had at least one ohnolog assigned to a tissue expression cluster displaying dominant expression</w:t>
      </w:r>
      <w:r>
        <w:rPr>
          <w:rFonts w:ascii="Times New Roman" w:eastAsia="Times New Roman" w:hAnsi="Times New Roman" w:cs="Times New Roman"/>
          <w:sz w:val="20"/>
          <w:szCs w:val="20"/>
        </w:rPr>
        <w:t xml:space="preserve"> in liver. a) The number and proportions of cases are given per tissue expression evolution category (see Table 2). The differential expression outcome expected to be the highest for each category is highlighted opaque, while the rest are transparent. b) J</w:t>
      </w:r>
      <w:r>
        <w:rPr>
          <w:rFonts w:ascii="Times New Roman" w:eastAsia="Times New Roman" w:hAnsi="Times New Roman" w:cs="Times New Roman"/>
          <w:sz w:val="20"/>
          <w:szCs w:val="20"/>
        </w:rPr>
        <w:t xml:space="preserve">accard index score distributions for Atlantic salmon ohnolog promoter motif similarity, separated by differential expression outcome. P-values from pairwise comparisons testing for lower Jaccard index using the Wilcoxon test are indicated - as well as the </w:t>
      </w:r>
      <w:r>
        <w:rPr>
          <w:rFonts w:ascii="Times New Roman" w:eastAsia="Times New Roman" w:hAnsi="Times New Roman" w:cs="Times New Roman"/>
          <w:sz w:val="20"/>
          <w:szCs w:val="20"/>
        </w:rPr>
        <w:t>median scores.</w:t>
      </w:r>
      <w:r>
        <w:rPr>
          <w:rFonts w:ascii="Times New Roman" w:eastAsia="Times New Roman" w:hAnsi="Times New Roman" w:cs="Times New Roman"/>
          <w:sz w:val="20"/>
          <w:szCs w:val="20"/>
          <w:highlight w:val="yellow"/>
        </w:rPr>
        <w:t xml:space="preserve"> </w:t>
      </w:r>
      <w:r>
        <w:rPr>
          <w:rFonts w:ascii="Times New Roman" w:eastAsia="Times New Roman" w:hAnsi="Times New Roman" w:cs="Times New Roman"/>
          <w:sz w:val="20"/>
          <w:szCs w:val="20"/>
        </w:rPr>
        <w:t xml:space="preserve">(c-h) Expression levels, in terms of CPM (counts per million), from the tissue atlas data (c-e) and the corresponding data from the liver expression data are plotted (boxplots in </w:t>
      </w:r>
      <w:r>
        <w:rPr>
          <w:rFonts w:ascii="Times New Roman" w:eastAsia="Times New Roman" w:hAnsi="Times New Roman" w:cs="Times New Roman"/>
          <w:sz w:val="20"/>
          <w:szCs w:val="20"/>
        </w:rPr>
        <w:t xml:space="preserve">f-h) for a selected example with a liver-specific gain of expression </w:t>
      </w:r>
      <w:r>
        <w:rPr>
          <w:rFonts w:ascii="Times New Roman" w:eastAsia="Times New Roman" w:hAnsi="Times New Roman" w:cs="Times New Roman"/>
          <w:sz w:val="20"/>
          <w:szCs w:val="20"/>
        </w:rPr>
        <w:lastRenderedPageBreak/>
        <w:t xml:space="preserve">in each of the categories (I), (III) and (IV). The examples indicated in (c-h) include ohnologs of ephrin type-B receptor 2-like (category I), contactin-1a-like gene (category III) and a </w:t>
      </w:r>
      <w:r>
        <w:rPr>
          <w:rFonts w:ascii="Times New Roman" w:eastAsia="Times New Roman" w:hAnsi="Times New Roman" w:cs="Times New Roman"/>
          <w:sz w:val="20"/>
          <w:szCs w:val="20"/>
        </w:rPr>
        <w:t>E3 ubiquitin-protein ligase-like gene (category IV). The ohnologs in Atlantic salmon and grayling are represented as S1, S2 and G1 and G2</w:t>
      </w:r>
      <w:r>
        <w:rPr>
          <w:rFonts w:ascii="Times New Roman" w:eastAsia="Times New Roman" w:hAnsi="Times New Roman" w:cs="Times New Roman"/>
          <w:sz w:val="20"/>
          <w:szCs w:val="20"/>
          <w:highlight w:val="yellow"/>
        </w:rPr>
        <w:t>,</w:t>
      </w:r>
      <w:r>
        <w:rPr>
          <w:rFonts w:ascii="Times New Roman" w:eastAsia="Times New Roman" w:hAnsi="Times New Roman" w:cs="Times New Roman"/>
          <w:sz w:val="20"/>
          <w:szCs w:val="20"/>
        </w:rPr>
        <w:t xml:space="preserve"> respectively. </w:t>
      </w:r>
    </w:p>
    <w:p w:rsidR="00E94025" w:rsidRDefault="00571EC0" w:rsidP="00600B13">
      <w:pPr>
        <w:widowControl w:val="0"/>
        <w:spacing w:line="360" w:lineRule="auto"/>
        <w:jc w:val="both"/>
        <w:outlineLvl w:val="0"/>
        <w:rPr>
          <w:rFonts w:ascii="Times New Roman" w:eastAsia="Times New Roman" w:hAnsi="Times New Roman" w:cs="Times New Roman"/>
          <w:b/>
          <w:i/>
          <w:sz w:val="24"/>
          <w:szCs w:val="24"/>
          <w:highlight w:val="yellow"/>
        </w:rPr>
      </w:pPr>
      <w:r>
        <w:rPr>
          <w:rFonts w:ascii="Times New Roman" w:eastAsia="Times New Roman" w:hAnsi="Times New Roman" w:cs="Times New Roman"/>
          <w:b/>
          <w:i/>
          <w:sz w:val="24"/>
          <w:szCs w:val="24"/>
          <w:highlight w:val="yellow"/>
        </w:rPr>
        <w:t>Selection on chloride ion transporter regulation</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The most apparent difference in biology between Europ</w:t>
      </w:r>
      <w:r>
        <w:rPr>
          <w:rFonts w:ascii="Times New Roman" w:eastAsia="Times New Roman" w:hAnsi="Times New Roman" w:cs="Times New Roman"/>
          <w:sz w:val="24"/>
          <w:szCs w:val="24"/>
          <w:highlight w:val="yellow"/>
        </w:rPr>
        <w:t xml:space="preserve">ean grayling and Atlantic salmon is the ability of Atlantic salmon to migrate between freshwater and saltwater (anadromy), a trait that grayling has not evolved. </w:t>
      </w:r>
      <w:r>
        <w:rPr>
          <w:rFonts w:ascii="Times New Roman" w:eastAsia="Times New Roman" w:hAnsi="Times New Roman" w:cs="Times New Roman"/>
          <w:sz w:val="24"/>
          <w:szCs w:val="24"/>
          <w:highlight w:val="yellow"/>
        </w:rPr>
        <w:t xml:space="preserve">A key feature in saltwater acclimation involves remodelling gill physiology to enable efficient ion secretion and maintenance of osmotic homeostasis </w:t>
      </w:r>
      <w:hyperlink r:id="rId45">
        <w:r>
          <w:rPr>
            <w:rFonts w:ascii="Times New Roman" w:eastAsia="Times New Roman" w:hAnsi="Times New Roman" w:cs="Times New Roman"/>
            <w:color w:val="1155CC"/>
            <w:sz w:val="24"/>
            <w:szCs w:val="24"/>
            <w:highlight w:val="yellow"/>
            <w:u w:val="single"/>
          </w:rPr>
          <w:t>(Evans et al. 2005)</w:t>
        </w:r>
      </w:hyperlink>
      <w:r>
        <w:rPr>
          <w:rFonts w:ascii="Times New Roman" w:eastAsia="Times New Roman" w:hAnsi="Times New Roman" w:cs="Times New Roman"/>
          <w:sz w:val="24"/>
          <w:szCs w:val="24"/>
          <w:highlight w:val="yellow"/>
        </w:rPr>
        <w:t>. We the</w:t>
      </w:r>
      <w:r>
        <w:rPr>
          <w:rFonts w:ascii="Times New Roman" w:eastAsia="Times New Roman" w:hAnsi="Times New Roman" w:cs="Times New Roman"/>
          <w:sz w:val="24"/>
          <w:szCs w:val="24"/>
          <w:highlight w:val="yellow"/>
        </w:rPr>
        <w:t>refore specifically investigated the ohnolog divergence in gill gene expression regulation for key ion transport associated genes that perform critical function in the process of chloride ion secretion in sea water (Mackie et al. 2007; Nilsen et al. 2007).</w:t>
      </w:r>
      <w:r>
        <w:rPr>
          <w:rFonts w:ascii="Times New Roman" w:eastAsia="Times New Roman" w:hAnsi="Times New Roman" w:cs="Times New Roman"/>
          <w:sz w:val="24"/>
          <w:szCs w:val="24"/>
          <w:highlight w:val="yellow"/>
        </w:rPr>
        <w:t xml:space="preserve"> The Na</w:t>
      </w:r>
      <w:r>
        <w:rPr>
          <w:rFonts w:ascii="Times New Roman" w:eastAsia="Times New Roman" w:hAnsi="Times New Roman" w:cs="Times New Roman"/>
          <w:sz w:val="24"/>
          <w:szCs w:val="24"/>
          <w:highlight w:val="yellow"/>
          <w:vertAlign w:val="superscript"/>
        </w:rPr>
        <w:t>+</w:t>
      </w:r>
      <w:r>
        <w:rPr>
          <w:rFonts w:ascii="Times New Roman" w:eastAsia="Times New Roman" w:hAnsi="Times New Roman" w:cs="Times New Roman"/>
          <w:sz w:val="24"/>
          <w:szCs w:val="24"/>
          <w:highlight w:val="yellow"/>
        </w:rPr>
        <w:t>/K</w:t>
      </w:r>
      <w:r>
        <w:rPr>
          <w:rFonts w:ascii="Times New Roman" w:eastAsia="Times New Roman" w:hAnsi="Times New Roman" w:cs="Times New Roman"/>
          <w:sz w:val="24"/>
          <w:szCs w:val="24"/>
          <w:highlight w:val="yellow"/>
          <w:vertAlign w:val="superscript"/>
        </w:rPr>
        <w:t>+</w:t>
      </w:r>
      <w:r>
        <w:rPr>
          <w:rFonts w:ascii="Times New Roman" w:eastAsia="Times New Roman" w:hAnsi="Times New Roman" w:cs="Times New Roman"/>
          <w:sz w:val="24"/>
          <w:szCs w:val="24"/>
          <w:highlight w:val="yellow"/>
        </w:rPr>
        <w:t>/2Cl</w:t>
      </w:r>
      <w:r>
        <w:rPr>
          <w:rFonts w:ascii="Times New Roman" w:eastAsia="Times New Roman" w:hAnsi="Times New Roman" w:cs="Times New Roman"/>
          <w:sz w:val="24"/>
          <w:szCs w:val="24"/>
          <w:highlight w:val="yellow"/>
          <w:vertAlign w:val="superscript"/>
        </w:rPr>
        <w:t>-</w:t>
      </w:r>
      <w:r>
        <w:rPr>
          <w:rFonts w:ascii="Times New Roman" w:eastAsia="Times New Roman" w:hAnsi="Times New Roman" w:cs="Times New Roman"/>
          <w:sz w:val="24"/>
          <w:szCs w:val="24"/>
          <w:highlight w:val="yellow"/>
        </w:rPr>
        <w:t xml:space="preserve"> co-transporter 1 (NKCC1a) gene showed an extreme gill dominated expression of one of the ohnologs in salmon, while no such gill-specific expression was observed for the corresponding grayling ohnologs (Supplementary Figure S11). A particul</w:t>
      </w:r>
      <w:r>
        <w:rPr>
          <w:rFonts w:ascii="Times New Roman" w:eastAsia="Times New Roman" w:hAnsi="Times New Roman" w:cs="Times New Roman"/>
          <w:sz w:val="24"/>
          <w:szCs w:val="24"/>
          <w:highlight w:val="yellow"/>
        </w:rPr>
        <w:t>arly striking difference in expression pattern was observed for the cystic fibrosis transmembrane conductance regulator gene (CFTR; an ABC transporter-class conducting chloride ion transport) which exhibited grayling-specific regulatory divergence (Categor</w:t>
      </w:r>
      <w:r>
        <w:rPr>
          <w:rFonts w:ascii="Times New Roman" w:eastAsia="Times New Roman" w:hAnsi="Times New Roman" w:cs="Times New Roman"/>
          <w:sz w:val="24"/>
          <w:szCs w:val="24"/>
          <w:highlight w:val="yellow"/>
        </w:rPr>
        <w:t>y IV). From the tissue expression profiles of this tetrad (Figure 5a), it was evident that the divergence of tissue regulation in grayling was associated with a loss of gill tissue expression specificity compared to Atlantic salmon. To determine if the gra</w:t>
      </w:r>
      <w:r>
        <w:rPr>
          <w:rFonts w:ascii="Times New Roman" w:eastAsia="Times New Roman" w:hAnsi="Times New Roman" w:cs="Times New Roman"/>
          <w:sz w:val="24"/>
          <w:szCs w:val="24"/>
          <w:highlight w:val="yellow"/>
        </w:rPr>
        <w:t xml:space="preserve">yling CFTR duplicate with diverged expression also had signatures of coding sequence divergence, we computed branch-specific dN/dS. Notably, the grayling CFTR displaying diverged expression regulation also displays a two-fold increase in dN/dS compared to </w:t>
      </w:r>
      <w:r>
        <w:rPr>
          <w:rFonts w:ascii="Times New Roman" w:eastAsia="Times New Roman" w:hAnsi="Times New Roman" w:cs="Times New Roman"/>
          <w:sz w:val="24"/>
          <w:szCs w:val="24"/>
          <w:highlight w:val="yellow"/>
        </w:rPr>
        <w:t>its Ss4R duplicate copy with conserved expression regulation (Figure 5b). Na/K-ATPase (NKA) subunit genes were not well represented in the annotation and orthogroups and hence not included in the analysis.</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731200" cy="28829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5731200" cy="2882900"/>
                    </a:xfrm>
                    <a:prstGeom prst="rect">
                      <a:avLst/>
                    </a:prstGeom>
                    <a:ln/>
                  </pic:spPr>
                </pic:pic>
              </a:graphicData>
            </a:graphic>
          </wp:inline>
        </w:drawing>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5: Divergent selection on cystic fibrosis transmembrane conductance regulator. </w:t>
      </w:r>
      <w:r>
        <w:rPr>
          <w:rFonts w:ascii="Times New Roman" w:eastAsia="Times New Roman" w:hAnsi="Times New Roman" w:cs="Times New Roman"/>
          <w:sz w:val="20"/>
          <w:szCs w:val="20"/>
        </w:rPr>
        <w:t>a) Expression values, in terms of counts per million (CPM), of the cystic fibrosis transmembrane conductance regulator (CFTR) ohnologs in Atlantic salmon and grayling acr</w:t>
      </w:r>
      <w:r>
        <w:rPr>
          <w:rFonts w:ascii="Times New Roman" w:eastAsia="Times New Roman" w:hAnsi="Times New Roman" w:cs="Times New Roman"/>
          <w:sz w:val="20"/>
          <w:szCs w:val="20"/>
        </w:rPr>
        <w:t>oss eight tissues. b) CFTR gene tree. The orange circle represents the Ss4R duplication. Branch-specific dN/dS</w:t>
      </w:r>
      <w:r>
        <w:rPr>
          <w:rFonts w:ascii="Times New Roman" w:eastAsia="Times New Roman" w:hAnsi="Times New Roman" w:cs="Times New Roman"/>
          <w:sz w:val="20"/>
          <w:szCs w:val="20"/>
          <w:highlight w:val="yellow"/>
        </w:rPr>
        <w:t xml:space="preserve"> values</w:t>
      </w:r>
      <w:r>
        <w:rPr>
          <w:rFonts w:ascii="Times New Roman" w:eastAsia="Times New Roman" w:hAnsi="Times New Roman" w:cs="Times New Roman"/>
          <w:sz w:val="20"/>
          <w:szCs w:val="20"/>
        </w:rPr>
        <w:t xml:space="preserve"> of the tip nodes are given in parentheses.</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0"/>
          <w:szCs w:val="20"/>
        </w:rPr>
      </w:pPr>
    </w:p>
    <w:p w:rsidR="00E94025" w:rsidRDefault="00571EC0" w:rsidP="00600B13">
      <w:pPr>
        <w:spacing w:line="360" w:lineRule="auto"/>
        <w:outlineLvl w:val="0"/>
        <w:rPr>
          <w:rFonts w:ascii="Times New Roman" w:eastAsia="Times New Roman" w:hAnsi="Times New Roman" w:cs="Times New Roman"/>
          <w:b/>
          <w:color w:val="222222"/>
          <w:sz w:val="28"/>
          <w:szCs w:val="28"/>
          <w:highlight w:val="white"/>
        </w:rPr>
      </w:pPr>
      <w:r>
        <w:rPr>
          <w:rFonts w:ascii="Times New Roman" w:eastAsia="Times New Roman" w:hAnsi="Times New Roman" w:cs="Times New Roman"/>
          <w:b/>
          <w:color w:val="222222"/>
          <w:sz w:val="28"/>
          <w:szCs w:val="28"/>
          <w:highlight w:val="white"/>
        </w:rPr>
        <w:t>Discussion</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major limitation in previous studies of evolution of gene regulation following WG</w:t>
      </w:r>
      <w:r>
        <w:rPr>
          <w:rFonts w:ascii="Times New Roman" w:eastAsia="Times New Roman" w:hAnsi="Times New Roman" w:cs="Times New Roman"/>
          <w:sz w:val="24"/>
          <w:szCs w:val="24"/>
        </w:rPr>
        <w:t xml:space="preserve">D in vertebrates has been the inability to distinguish between neutral and adaptive divergence </w:t>
      </w:r>
      <w:hyperlink r:id="rId47">
        <w:r>
          <w:rPr>
            <w:rFonts w:ascii="Times New Roman" w:eastAsia="Times New Roman" w:hAnsi="Times New Roman" w:cs="Times New Roman"/>
            <w:color w:val="1155CC"/>
            <w:sz w:val="24"/>
            <w:szCs w:val="24"/>
            <w:u w:val="single"/>
          </w:rPr>
          <w:t>(Hermansen et al. 2016)</w:t>
        </w:r>
      </w:hyperlink>
      <w:r>
        <w:rPr>
          <w:rFonts w:ascii="Times New Roman" w:eastAsia="Times New Roman" w:hAnsi="Times New Roman" w:cs="Times New Roman"/>
          <w:sz w:val="24"/>
          <w:szCs w:val="24"/>
        </w:rPr>
        <w:t>. Here, we leverage gene expression data from two salmonid species and a close outg</w:t>
      </w:r>
      <w:r>
        <w:rPr>
          <w:rFonts w:ascii="Times New Roman" w:eastAsia="Times New Roman" w:hAnsi="Times New Roman" w:cs="Times New Roman"/>
          <w:sz w:val="24"/>
          <w:szCs w:val="24"/>
        </w:rPr>
        <w:t>roup species (Northern pike) in a comparative approach to identify shared expression evolution patterns following WGD in lineages evolving independently for ~50 million years. This allows us to identify evolutionarily long-term conservation of novel expres</w:t>
      </w:r>
      <w:r>
        <w:rPr>
          <w:rFonts w:ascii="Times New Roman" w:eastAsia="Times New Roman" w:hAnsi="Times New Roman" w:cs="Times New Roman"/>
          <w:sz w:val="24"/>
          <w:szCs w:val="24"/>
        </w:rPr>
        <w:t>sion “phenotypes” arising after WGD - the hallmark of novel adaptive functions.</w:t>
      </w:r>
    </w:p>
    <w:p w:rsidR="00E94025" w:rsidRDefault="00571EC0">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Although regulatory divergence of Ss4R ohnologs is widespread </w:t>
      </w:r>
      <w:hyperlink r:id="rId48">
        <w:r>
          <w:rPr>
            <w:rFonts w:ascii="Times New Roman" w:eastAsia="Times New Roman" w:hAnsi="Times New Roman" w:cs="Times New Roman"/>
            <w:color w:val="1155CC"/>
            <w:sz w:val="24"/>
            <w:szCs w:val="24"/>
            <w:u w:val="single"/>
          </w:rPr>
          <w:t>(Lien et al. 2016; Gillard et al. 2018)</w:t>
        </w:r>
      </w:hyperlink>
      <w:r>
        <w:rPr>
          <w:rFonts w:ascii="Times New Roman" w:eastAsia="Times New Roman" w:hAnsi="Times New Roman" w:cs="Times New Roman"/>
          <w:sz w:val="24"/>
          <w:szCs w:val="24"/>
        </w:rPr>
        <w:t xml:space="preserve">, we show that </w:t>
      </w:r>
      <w:r>
        <w:rPr>
          <w:rFonts w:ascii="Times New Roman" w:eastAsia="Times New Roman" w:hAnsi="Times New Roman" w:cs="Times New Roman"/>
          <w:sz w:val="24"/>
          <w:szCs w:val="24"/>
        </w:rPr>
        <w:t>ohnolog regulatory tissue divergence shared among species separated by ~50 million years of evolution is comparably rare (Table 2). Nevertheless, these ohnolog</w:t>
      </w:r>
      <w:r>
        <w:rPr>
          <w:rFonts w:ascii="Times New Roman" w:eastAsia="Times New Roman" w:hAnsi="Times New Roman" w:cs="Times New Roman"/>
          <w:sz w:val="24"/>
          <w:szCs w:val="24"/>
          <w:highlight w:val="yellow"/>
        </w:rPr>
        <w:t xml:space="preserve">s </w:t>
      </w:r>
      <w:r>
        <w:rPr>
          <w:rFonts w:ascii="Times New Roman" w:eastAsia="Times New Roman" w:hAnsi="Times New Roman" w:cs="Times New Roman"/>
          <w:sz w:val="24"/>
          <w:szCs w:val="24"/>
        </w:rPr>
        <w:t xml:space="preserve">represent </w:t>
      </w:r>
      <w:r>
        <w:rPr>
          <w:rFonts w:ascii="Times New Roman" w:eastAsia="Times New Roman" w:hAnsi="Times New Roman" w:cs="Times New Roman"/>
          <w:sz w:val="24"/>
          <w:szCs w:val="24"/>
        </w:rPr>
        <w:t>intriguing candidates for salmonid-specific adaptive evolution of novel gene expression regulation following WGD. Salmonids are suggested to have evolved from a pike-like ancestor, a relatively stationary ambush predator</w:t>
      </w:r>
      <w:hyperlink r:id="rId49">
        <w:r>
          <w:rPr>
            <w:rFonts w:ascii="Times New Roman" w:eastAsia="Times New Roman" w:hAnsi="Times New Roman" w:cs="Times New Roman"/>
            <w:color w:val="1155CC"/>
            <w:sz w:val="24"/>
            <w:szCs w:val="24"/>
            <w:u w:val="single"/>
          </w:rPr>
          <w:t>(Craig 2008)</w:t>
        </w:r>
      </w:hyperlink>
      <w:r>
        <w:rPr>
          <w:rFonts w:ascii="Times New Roman" w:eastAsia="Times New Roman" w:hAnsi="Times New Roman" w:cs="Times New Roman"/>
          <w:sz w:val="24"/>
          <w:szCs w:val="24"/>
        </w:rPr>
        <w:t>. Under this assumption, early salmonid evolution must have involved adaptation to new pelagic and/or riverine habitats. Adaptations to new environments and evolution of different life history strategies are known to be assoc</w:t>
      </w:r>
      <w:r>
        <w:rPr>
          <w:rFonts w:ascii="Times New Roman" w:eastAsia="Times New Roman" w:hAnsi="Times New Roman" w:cs="Times New Roman"/>
          <w:sz w:val="24"/>
          <w:szCs w:val="24"/>
        </w:rPr>
        <w:t>iated with strong selective pressure on immune-related genes (e.g</w:t>
      </w:r>
      <w:hyperlink r:id="rId50">
        <w:r>
          <w:rPr>
            <w:rFonts w:ascii="Times New Roman" w:eastAsia="Times New Roman" w:hAnsi="Times New Roman" w:cs="Times New Roman"/>
            <w:color w:val="1155CC"/>
            <w:sz w:val="24"/>
            <w:szCs w:val="24"/>
            <w:u w:val="single"/>
          </w:rPr>
          <w:t>(Haase et al. 2013; Solbakken et al. 2017)</w:t>
        </w:r>
      </w:hyperlink>
      <w:r>
        <w:rPr>
          <w:rFonts w:ascii="Times New Roman" w:eastAsia="Times New Roman" w:hAnsi="Times New Roman" w:cs="Times New Roman"/>
          <w:sz w:val="24"/>
          <w:szCs w:val="24"/>
        </w:rPr>
        <w:t xml:space="preserve">). In line with this, we see an overrepresentation </w:t>
      </w:r>
      <w:r>
        <w:rPr>
          <w:rFonts w:ascii="Times New Roman" w:eastAsia="Times New Roman" w:hAnsi="Times New Roman" w:cs="Times New Roman"/>
          <w:sz w:val="24"/>
          <w:szCs w:val="24"/>
        </w:rPr>
        <w:lastRenderedPageBreak/>
        <w:t>of immune-related genes among ohnologs</w:t>
      </w:r>
      <w:r>
        <w:rPr>
          <w:rFonts w:ascii="Times New Roman" w:eastAsia="Times New Roman" w:hAnsi="Times New Roman" w:cs="Times New Roman"/>
          <w:sz w:val="24"/>
          <w:szCs w:val="24"/>
        </w:rPr>
        <w:t xml:space="preserve"> that diverged in the common ancestor of salmon and grayling but have been under purifying selection in both species after speciation (category I, Table 2 </w:t>
      </w:r>
      <w:r>
        <w:rPr>
          <w:rFonts w:ascii="Times New Roman" w:eastAsia="Times New Roman" w:hAnsi="Times New Roman" w:cs="Times New Roman"/>
          <w:sz w:val="24"/>
          <w:szCs w:val="24"/>
          <w:highlight w:val="yellow"/>
        </w:rPr>
        <w:t>and Supplementary file 2</w:t>
      </w:r>
      <w:r>
        <w:rPr>
          <w:rFonts w:ascii="Times New Roman" w:eastAsia="Times New Roman" w:hAnsi="Times New Roman" w:cs="Times New Roman"/>
          <w:sz w:val="24"/>
          <w:szCs w:val="24"/>
        </w:rPr>
        <w:t>). Furthermore,</w:t>
      </w:r>
      <w:r>
        <w:rPr>
          <w:rFonts w:ascii="Times New Roman" w:eastAsia="Times New Roman" w:hAnsi="Times New Roman" w:cs="Times New Roman"/>
          <w:sz w:val="24"/>
          <w:szCs w:val="24"/>
          <w:highlight w:val="yellow"/>
        </w:rPr>
        <w:t xml:space="preserve"> pikes are</w:t>
      </w:r>
      <w:r>
        <w:rPr>
          <w:rFonts w:ascii="Times New Roman" w:eastAsia="Times New Roman" w:hAnsi="Times New Roman" w:cs="Times New Roman"/>
          <w:sz w:val="24"/>
          <w:szCs w:val="24"/>
        </w:rPr>
        <w:t xml:space="preserve"> generally piscivorous throughout their lifespan, wh</w:t>
      </w:r>
      <w:r>
        <w:rPr>
          <w:rFonts w:ascii="Times New Roman" w:eastAsia="Times New Roman" w:hAnsi="Times New Roman" w:cs="Times New Roman"/>
          <w:sz w:val="24"/>
          <w:szCs w:val="24"/>
        </w:rPr>
        <w:t xml:space="preserve">ile salmonids depend more on aquatic and terrestrial invertebrate prey with significantly lower input of lipids, especially in early life </w:t>
      </w:r>
      <w:hyperlink r:id="rId51">
        <w:r>
          <w:rPr>
            <w:rFonts w:ascii="Times New Roman" w:eastAsia="Times New Roman" w:hAnsi="Times New Roman" w:cs="Times New Roman"/>
            <w:color w:val="1155CC"/>
            <w:sz w:val="24"/>
            <w:szCs w:val="24"/>
            <w:u w:val="single"/>
          </w:rPr>
          <w:t>(Carmona-Antoñanzas et al. 2013)</w:t>
        </w:r>
      </w:hyperlink>
      <w:r>
        <w:rPr>
          <w:rFonts w:ascii="Times New Roman" w:eastAsia="Times New Roman" w:hAnsi="Times New Roman" w:cs="Times New Roman"/>
          <w:sz w:val="24"/>
          <w:szCs w:val="24"/>
        </w:rPr>
        <w:t>. Interestingly, duplicates wit</w:t>
      </w:r>
      <w:r>
        <w:rPr>
          <w:rFonts w:ascii="Times New Roman" w:eastAsia="Times New Roman" w:hAnsi="Times New Roman" w:cs="Times New Roman"/>
          <w:sz w:val="24"/>
          <w:szCs w:val="24"/>
        </w:rPr>
        <w:t xml:space="preserve">h shared ancestral divergence (category I), which are candidates for adaptive divergence in regulation, are enriched for </w:t>
      </w:r>
      <w:r>
        <w:rPr>
          <w:rFonts w:ascii="Times New Roman" w:eastAsia="Times New Roman" w:hAnsi="Times New Roman" w:cs="Times New Roman"/>
          <w:strike/>
          <w:sz w:val="24"/>
          <w:szCs w:val="24"/>
          <w:highlight w:val="yellow"/>
        </w:rPr>
        <w:t xml:space="preserve">liver-expressed genes involved in </w:t>
      </w:r>
      <w:r>
        <w:rPr>
          <w:rFonts w:ascii="Times New Roman" w:eastAsia="Times New Roman" w:hAnsi="Times New Roman" w:cs="Times New Roman"/>
          <w:sz w:val="24"/>
          <w:szCs w:val="24"/>
        </w:rPr>
        <w:t>lipid-homeostasis, metabolism and energy storage (glycogen) related functions (GO test results in Sup</w:t>
      </w:r>
      <w:r>
        <w:rPr>
          <w:rFonts w:ascii="Times New Roman" w:eastAsia="Times New Roman" w:hAnsi="Times New Roman" w:cs="Times New Roman"/>
          <w:sz w:val="24"/>
          <w:szCs w:val="24"/>
        </w:rPr>
        <w:t xml:space="preserve">plementary file 2). </w:t>
      </w:r>
      <w:r>
        <w:rPr>
          <w:rFonts w:ascii="Times New Roman" w:eastAsia="Times New Roman" w:hAnsi="Times New Roman" w:cs="Times New Roman"/>
          <w:sz w:val="24"/>
          <w:szCs w:val="24"/>
          <w:highlight w:val="yellow"/>
        </w:rPr>
        <w:t>Among these ohnologs, we find some interesting candidate genes related to, for example, cholesterol metabolism (ATP-binding cassette transporter, ABCA1) and phospholipid metabolism (LPCAT4) (Supplementary Figure S12). In order to interp</w:t>
      </w:r>
      <w:r>
        <w:rPr>
          <w:rFonts w:ascii="Times New Roman" w:eastAsia="Times New Roman" w:hAnsi="Times New Roman" w:cs="Times New Roman"/>
          <w:sz w:val="24"/>
          <w:szCs w:val="24"/>
          <w:highlight w:val="yellow"/>
        </w:rPr>
        <w:t>ret these results from a perspective of gene regulation related to novel lifestyle and diet adaptations in salmonid ancestor, a comprehensive analysis using, for example, liver co-expression network comparisons or targeted experiments with dietary modifica</w:t>
      </w:r>
      <w:r>
        <w:rPr>
          <w:rFonts w:ascii="Times New Roman" w:eastAsia="Times New Roman" w:hAnsi="Times New Roman" w:cs="Times New Roman"/>
          <w:sz w:val="24"/>
          <w:szCs w:val="24"/>
          <w:highlight w:val="yellow"/>
        </w:rPr>
        <w:t>tions, would be necessary.</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Taken together, our results suggest a role of Ss4R ohnologs in adaptive evolution of novel gene expression regulation, possibly related to new pathogenic pressures in a new type of habitat, and optimization of lipid-homeostasis a</w:t>
      </w:r>
      <w:r>
        <w:rPr>
          <w:rFonts w:ascii="Times New Roman" w:eastAsia="Times New Roman" w:hAnsi="Times New Roman" w:cs="Times New Roman"/>
          <w:sz w:val="24"/>
          <w:szCs w:val="24"/>
        </w:rPr>
        <w:t>nd glycogen metabolism-related functions in response to evolution of a more active pelagic/riverine life with limited lipid resources.</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Purifying selection to maintain ancestral tissue regulation of ohnologs in both salmonid species was the most common</w:t>
      </w:r>
      <w:r>
        <w:rPr>
          <w:rFonts w:ascii="Times New Roman" w:eastAsia="Times New Roman" w:hAnsi="Times New Roman" w:cs="Times New Roman"/>
          <w:sz w:val="24"/>
          <w:szCs w:val="24"/>
        </w:rPr>
        <w:t>ly observed fate of ohnolog expression evolution (category II, Table 2 and Figure 3). These ohnologs were</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predominantly brain-specific and enriched for predicted protein-protein interactions. Several other studies in vertebrates have found similar results,</w:t>
      </w:r>
      <w:r>
        <w:rPr>
          <w:rFonts w:ascii="Times New Roman" w:eastAsia="Times New Roman" w:hAnsi="Times New Roman" w:cs="Times New Roman"/>
          <w:sz w:val="24"/>
          <w:szCs w:val="24"/>
        </w:rPr>
        <w:t xml:space="preserve"> with strong purifying selection on sequence and expression evolution in brain-dominant genes,</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as well as high retention probability of following large-scale genome duplication </w:t>
      </w:r>
      <w:hyperlink r:id="rId52">
        <w:r>
          <w:rPr>
            <w:rFonts w:ascii="Times New Roman" w:eastAsia="Times New Roman" w:hAnsi="Times New Roman" w:cs="Times New Roman"/>
            <w:color w:val="1155CC"/>
            <w:sz w:val="24"/>
            <w:szCs w:val="24"/>
            <w:u w:val="single"/>
          </w:rPr>
          <w:t>(Z</w:t>
        </w:r>
        <w:r>
          <w:rPr>
            <w:rFonts w:ascii="Times New Roman" w:eastAsia="Times New Roman" w:hAnsi="Times New Roman" w:cs="Times New Roman"/>
            <w:color w:val="1155CC"/>
            <w:sz w:val="24"/>
            <w:szCs w:val="24"/>
            <w:u w:val="single"/>
          </w:rPr>
          <w:t>heng-Bradley et al. 2010; Chan et al. 2009; Khaitovich et al. 2005; Roux et al. 2017; Guschanski et al. 2017)</w:t>
        </w:r>
      </w:hyperlink>
      <w:r>
        <w:rPr>
          <w:rFonts w:ascii="Times New Roman" w:eastAsia="Times New Roman" w:hAnsi="Times New Roman" w:cs="Times New Roman"/>
          <w:sz w:val="24"/>
          <w:szCs w:val="24"/>
        </w:rPr>
        <w:t>. As neuron-function related genes are involved in complex networks of signaling cascades and higher-order protein-protein interactions, this patte</w:t>
      </w:r>
      <w:r>
        <w:rPr>
          <w:rFonts w:ascii="Times New Roman" w:eastAsia="Times New Roman" w:hAnsi="Times New Roman" w:cs="Times New Roman"/>
          <w:sz w:val="24"/>
          <w:szCs w:val="24"/>
        </w:rPr>
        <w:t>rn is believed to</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be driven either by</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direct selection for maintaining novel gene copies due to dosage balance (relative or absolute), or indirectly, through selection against toxic effects of misfolding or mis-interacting proteins </w:t>
      </w:r>
      <w:hyperlink r:id="rId53">
        <w:r>
          <w:rPr>
            <w:rFonts w:ascii="Times New Roman" w:eastAsia="Times New Roman" w:hAnsi="Times New Roman" w:cs="Times New Roman"/>
            <w:color w:val="1155CC"/>
            <w:sz w:val="24"/>
            <w:szCs w:val="24"/>
            <w:u w:val="single"/>
          </w:rPr>
          <w:t>(Roux et al. 2017)</w:t>
        </w:r>
      </w:hyperlink>
      <w:r>
        <w:rPr>
          <w:rFonts w:ascii="Times New Roman" w:eastAsia="Times New Roman" w:hAnsi="Times New Roman" w:cs="Times New Roman"/>
          <w:sz w:val="24"/>
          <w:szCs w:val="24"/>
        </w:rPr>
        <w:t>.</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analyses of salmonid genomes have revealed ~25% LORe between Atlantic salmon and grayling</w:t>
      </w:r>
      <w:r>
        <w:rPr>
          <w:rFonts w:ascii="Times New Roman" w:eastAsia="Times New Roman" w:hAnsi="Times New Roman" w:cs="Times New Roman"/>
          <w:sz w:val="24"/>
          <w:szCs w:val="24"/>
          <w:highlight w:val="yellow"/>
        </w:rPr>
        <w:t xml:space="preserve"> </w:t>
      </w:r>
      <w:hyperlink r:id="rId54">
        <w:r>
          <w:rPr>
            <w:rFonts w:ascii="Times New Roman" w:eastAsia="Times New Roman" w:hAnsi="Times New Roman" w:cs="Times New Roman"/>
            <w:color w:val="1155CC"/>
            <w:sz w:val="24"/>
            <w:szCs w:val="24"/>
            <w:u w:val="single"/>
          </w:rPr>
          <w:t>(Robertson et al. 2017; Lien et al. 2016)</w:t>
        </w:r>
      </w:hyperlink>
      <w:r>
        <w:rPr>
          <w:rFonts w:ascii="Times New Roman" w:eastAsia="Times New Roman" w:hAnsi="Times New Roman" w:cs="Times New Roman"/>
          <w:sz w:val="24"/>
          <w:szCs w:val="24"/>
        </w:rPr>
        <w:t xml:space="preserve">. Here </w:t>
      </w:r>
      <w:r>
        <w:rPr>
          <w:rFonts w:ascii="Times New Roman" w:eastAsia="Times New Roman" w:hAnsi="Times New Roman" w:cs="Times New Roman"/>
          <w:sz w:val="24"/>
          <w:szCs w:val="24"/>
        </w:rPr>
        <w:t xml:space="preserve">we find a set of LORe regions, corresponding to whole chromosome arms in Atlantic salmon, detected as single copy genes </w:t>
      </w:r>
      <w:r>
        <w:rPr>
          <w:rFonts w:ascii="Times New Roman" w:eastAsia="Times New Roman" w:hAnsi="Times New Roman" w:cs="Times New Roman"/>
          <w:sz w:val="24"/>
          <w:szCs w:val="24"/>
        </w:rPr>
        <w:lastRenderedPageBreak/>
        <w:t>in grayling as a result of collapse during the assembly process. This strongly suggests that these sequences are in fact present as near</w:t>
      </w:r>
      <w:r>
        <w:rPr>
          <w:rFonts w:ascii="Times New Roman" w:eastAsia="Times New Roman" w:hAnsi="Times New Roman" w:cs="Times New Roman"/>
          <w:sz w:val="24"/>
          <w:szCs w:val="24"/>
        </w:rPr>
        <w:t xml:space="preserve">-identical duplicated regions in the grayling genome. The larger chromosome arm-sized regions virtually indistinguishable at the sequence level (~10% in total, i.e. blue ribbons in Figure 2b) are likely still recombining or have only ceased to do so </w:t>
      </w:r>
      <w:r>
        <w:rPr>
          <w:rFonts w:ascii="Times New Roman" w:eastAsia="Times New Roman" w:hAnsi="Times New Roman" w:cs="Times New Roman"/>
          <w:color w:val="333333"/>
          <w:sz w:val="24"/>
          <w:szCs w:val="24"/>
          <w:highlight w:val="white"/>
        </w:rPr>
        <w:t>in the</w:t>
      </w:r>
      <w:r>
        <w:rPr>
          <w:rFonts w:ascii="Times New Roman" w:eastAsia="Times New Roman" w:hAnsi="Times New Roman" w:cs="Times New Roman"/>
          <w:color w:val="333333"/>
          <w:sz w:val="24"/>
          <w:szCs w:val="24"/>
          <w:highlight w:val="white"/>
        </w:rPr>
        <w:t xml:space="preserve"> recent evolutionary past</w:t>
      </w:r>
      <w:r>
        <w:rPr>
          <w:rFonts w:ascii="Times New Roman" w:eastAsia="Times New Roman" w:hAnsi="Times New Roman" w:cs="Times New Roman"/>
          <w:sz w:val="24"/>
          <w:szCs w:val="24"/>
        </w:rPr>
        <w:t>. Large-scale chromosomal rearrangements often follow genome duplication to block or hinder recombination among duplicated regions</w:t>
      </w:r>
      <w:r>
        <w:rPr>
          <w:rFonts w:ascii="Times New Roman" w:eastAsia="Times New Roman" w:hAnsi="Times New Roman" w:cs="Times New Roman"/>
          <w:sz w:val="24"/>
          <w:szCs w:val="24"/>
          <w:highlight w:val="yellow"/>
        </w:rPr>
        <w:t xml:space="preserve"> </w:t>
      </w:r>
      <w:hyperlink r:id="rId55">
        <w:r>
          <w:rPr>
            <w:rFonts w:ascii="Times New Roman" w:eastAsia="Times New Roman" w:hAnsi="Times New Roman" w:cs="Times New Roman"/>
            <w:color w:val="1155CC"/>
            <w:sz w:val="24"/>
            <w:szCs w:val="24"/>
            <w:u w:val="single"/>
          </w:rPr>
          <w:t>(Comai 2005; Lien et al. 2016)</w:t>
        </w:r>
      </w:hyperlink>
      <w:r>
        <w:rPr>
          <w:rFonts w:ascii="Times New Roman" w:eastAsia="Times New Roman" w:hAnsi="Times New Roman" w:cs="Times New Roman"/>
          <w:sz w:val="24"/>
          <w:szCs w:val="24"/>
        </w:rPr>
        <w:t>. The difference we observe in the rediploidization history between Atlantic salmon and grayling is thus likely linked to the distinctly different chromosome evolution in these species (Supplementary Figure S1)</w:t>
      </w:r>
      <w:r>
        <w:rPr>
          <w:rFonts w:ascii="Times New Roman" w:eastAsia="Times New Roman" w:hAnsi="Times New Roman" w:cs="Times New Roman"/>
          <w:sz w:val="24"/>
          <w:szCs w:val="24"/>
          <w:highlight w:val="yellow"/>
        </w:rPr>
        <w:t xml:space="preserve"> </w:t>
      </w:r>
      <w:hyperlink r:id="rId56">
        <w:r>
          <w:rPr>
            <w:rFonts w:ascii="Times New Roman" w:eastAsia="Times New Roman" w:hAnsi="Times New Roman" w:cs="Times New Roman"/>
            <w:color w:val="1155CC"/>
            <w:sz w:val="24"/>
            <w:szCs w:val="24"/>
            <w:highlight w:val="yellow"/>
            <w:u w:val="single"/>
          </w:rPr>
          <w:t>(</w:t>
        </w:r>
      </w:hyperlink>
      <w:hyperlink r:id="rId57">
        <w:r>
          <w:rPr>
            <w:rFonts w:ascii="Times New Roman" w:eastAsia="Times New Roman" w:hAnsi="Times New Roman" w:cs="Times New Roman"/>
            <w:color w:val="1155CC"/>
            <w:sz w:val="24"/>
            <w:szCs w:val="24"/>
            <w:u w:val="single"/>
          </w:rPr>
          <w:t>Qumsiyeh 1994)</w:t>
        </w:r>
      </w:hyperlink>
      <w:r>
        <w:rPr>
          <w:rFonts w:ascii="Times New Roman" w:eastAsia="Times New Roman" w:hAnsi="Times New Roman" w:cs="Times New Roman"/>
          <w:sz w:val="24"/>
          <w:szCs w:val="24"/>
        </w:rPr>
        <w:t>.</w:t>
      </w:r>
    </w:p>
    <w:p w:rsidR="00E94025" w:rsidRDefault="00571EC0">
      <w:pPr>
        <w:spacing w:line="360" w:lineRule="auto"/>
        <w:jc w:val="both"/>
        <w:rPr>
          <w:rFonts w:ascii="Times New Roman" w:eastAsia="Times New Roman" w:hAnsi="Times New Roman" w:cs="Times New Roman"/>
          <w:b/>
          <w:strike/>
          <w:sz w:val="28"/>
          <w:szCs w:val="28"/>
          <w:highlight w:val="yellow"/>
        </w:rPr>
      </w:pPr>
      <w:r>
        <w:rPr>
          <w:rFonts w:ascii="Times New Roman" w:eastAsia="Times New Roman" w:hAnsi="Times New Roman" w:cs="Times New Roman"/>
          <w:sz w:val="24"/>
          <w:szCs w:val="24"/>
        </w:rPr>
        <w:t>The genomic footprints of LORe also extend to ohnolog regulatory divergence. LORe regions showed a strong enrichment of species-specific tissue-specific expression pattern (c</w:t>
      </w:r>
      <w:r>
        <w:rPr>
          <w:rFonts w:ascii="Times New Roman" w:eastAsia="Times New Roman" w:hAnsi="Times New Roman" w:cs="Times New Roman"/>
          <w:sz w:val="24"/>
          <w:szCs w:val="24"/>
        </w:rPr>
        <w:t xml:space="preserve">ategory V, in Table 2 and Supplementary Table S5), as expected under lineage-specific rediploidization and subsequent regulatory divergence. However, we also find a small proportion (~5%) of </w:t>
      </w:r>
      <w:r>
        <w:rPr>
          <w:rFonts w:ascii="Times New Roman" w:eastAsia="Times New Roman" w:hAnsi="Times New Roman" w:cs="Times New Roman"/>
          <w:strike/>
          <w:sz w:val="24"/>
          <w:szCs w:val="24"/>
          <w:highlight w:val="yellow"/>
        </w:rPr>
        <w:t xml:space="preserve">category (V) </w:t>
      </w:r>
      <w:r>
        <w:rPr>
          <w:rFonts w:ascii="Times New Roman" w:eastAsia="Times New Roman" w:hAnsi="Times New Roman" w:cs="Times New Roman"/>
          <w:sz w:val="24"/>
          <w:szCs w:val="24"/>
        </w:rPr>
        <w:t xml:space="preserve">genes in AORe regions of the </w:t>
      </w:r>
      <w:r>
        <w:rPr>
          <w:rFonts w:ascii="Times New Roman" w:eastAsia="Times New Roman" w:hAnsi="Times New Roman" w:cs="Times New Roman"/>
          <w:strike/>
          <w:sz w:val="24"/>
          <w:szCs w:val="24"/>
          <w:highlight w:val="yellow"/>
        </w:rPr>
        <w:t xml:space="preserve">genome. </w:t>
      </w:r>
      <w:r>
        <w:rPr>
          <w:rFonts w:ascii="Times New Roman" w:eastAsia="Times New Roman" w:hAnsi="Times New Roman" w:cs="Times New Roman"/>
          <w:sz w:val="24"/>
          <w:szCs w:val="24"/>
          <w:highlight w:val="yellow"/>
        </w:rPr>
        <w:t>genome that ref</w:t>
      </w:r>
      <w:r>
        <w:rPr>
          <w:rFonts w:ascii="Times New Roman" w:eastAsia="Times New Roman" w:hAnsi="Times New Roman" w:cs="Times New Roman"/>
          <w:sz w:val="24"/>
          <w:szCs w:val="24"/>
          <w:highlight w:val="yellow"/>
        </w:rPr>
        <w:t>lect conserved tissue regulation among ohnologs within species but different regulation between species (category V)</w:t>
      </w:r>
      <w:r>
        <w:rPr>
          <w:rFonts w:ascii="Times New Roman" w:eastAsia="Times New Roman" w:hAnsi="Times New Roman" w:cs="Times New Roman"/>
          <w:sz w:val="24"/>
          <w:szCs w:val="24"/>
        </w:rPr>
        <w:t>. This observation is more difficult to explain, but it is likely real</w:t>
      </w:r>
      <w:r>
        <w:rPr>
          <w:rFonts w:ascii="Times New Roman" w:eastAsia="Times New Roman" w:hAnsi="Times New Roman" w:cs="Times New Roman"/>
          <w:strike/>
          <w:sz w:val="24"/>
          <w:szCs w:val="24"/>
          <w:highlight w:val="yellow"/>
        </w:rPr>
        <w:t xml:space="preserve"> biological observation </w:t>
      </w:r>
      <w:r>
        <w:rPr>
          <w:rFonts w:ascii="Times New Roman" w:eastAsia="Times New Roman" w:hAnsi="Times New Roman" w:cs="Times New Roman"/>
          <w:sz w:val="24"/>
          <w:szCs w:val="24"/>
        </w:rPr>
        <w:t>as the coding- and promoter sequence evolution</w:t>
      </w:r>
      <w:r>
        <w:rPr>
          <w:rFonts w:ascii="Times New Roman" w:eastAsia="Times New Roman" w:hAnsi="Times New Roman" w:cs="Times New Roman"/>
          <w:sz w:val="24"/>
          <w:szCs w:val="24"/>
        </w:rPr>
        <w:t xml:space="preserve"> analyses </w:t>
      </w:r>
      <w:r>
        <w:rPr>
          <w:rFonts w:ascii="Times New Roman" w:eastAsia="Times New Roman" w:hAnsi="Times New Roman" w:cs="Times New Roman"/>
          <w:sz w:val="24"/>
          <w:szCs w:val="24"/>
          <w:highlight w:val="yellow"/>
        </w:rPr>
        <w:t>show that these ohnologs are biased towards high similarity in coding and promoter sequence within each species</w:t>
      </w:r>
      <w:r>
        <w:rPr>
          <w:rFonts w:ascii="Times New Roman" w:eastAsia="Times New Roman" w:hAnsi="Times New Roman" w:cs="Times New Roman"/>
          <w:sz w:val="24"/>
          <w:szCs w:val="24"/>
        </w:rPr>
        <w:t xml:space="preserve"> (Supplementary Figure S9 and S10)</w:t>
      </w:r>
      <w:r>
        <w:rPr>
          <w:rFonts w:ascii="Times New Roman" w:eastAsia="Times New Roman" w:hAnsi="Times New Roman" w:cs="Times New Roman"/>
          <w:strike/>
          <w:sz w:val="24"/>
          <w:szCs w:val="24"/>
          <w:highlight w:val="yellow"/>
        </w:rPr>
        <w:t xml:space="preserve"> support the validity of the category V ohnologs in AORe regions</w:t>
      </w:r>
      <w:r>
        <w:rPr>
          <w:rFonts w:ascii="Times New Roman" w:eastAsia="Times New Roman" w:hAnsi="Times New Roman" w:cs="Times New Roman"/>
          <w:sz w:val="24"/>
          <w:szCs w:val="24"/>
        </w:rPr>
        <w:t>. Possible explanations for this obse</w:t>
      </w:r>
      <w:r>
        <w:rPr>
          <w:rFonts w:ascii="Times New Roman" w:eastAsia="Times New Roman" w:hAnsi="Times New Roman" w:cs="Times New Roman"/>
          <w:sz w:val="24"/>
          <w:szCs w:val="24"/>
        </w:rPr>
        <w:t>rvation could be a result of non-homologous gene conversion (e.g.</w:t>
      </w:r>
      <w:hyperlink r:id="rId58">
        <w:r>
          <w:rPr>
            <w:rFonts w:ascii="Times New Roman" w:eastAsia="Times New Roman" w:hAnsi="Times New Roman" w:cs="Times New Roman"/>
            <w:color w:val="1155CC"/>
            <w:sz w:val="24"/>
            <w:szCs w:val="24"/>
            <w:u w:val="single"/>
          </w:rPr>
          <w:t>(Hastings 2010)</w:t>
        </w:r>
      </w:hyperlink>
      <w:r>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highlight w:val="yellow"/>
        </w:rPr>
        <w:t>evolution of species specific tissue-regulatory network</w:t>
      </w:r>
      <w:r>
        <w:rPr>
          <w:rFonts w:ascii="Times New Roman" w:eastAsia="Times New Roman" w:hAnsi="Times New Roman" w:cs="Times New Roman"/>
          <w:sz w:val="24"/>
          <w:szCs w:val="24"/>
        </w:rPr>
        <w:t>s</w:t>
      </w:r>
      <w:r>
        <w:rPr>
          <w:rFonts w:ascii="Times New Roman" w:eastAsia="Times New Roman" w:hAnsi="Times New Roman" w:cs="Times New Roman"/>
          <w:strike/>
          <w:sz w:val="24"/>
          <w:szCs w:val="24"/>
          <w:highlight w:val="yellow"/>
        </w:rPr>
        <w:t xml:space="preserve"> alternatively, rare local lineage-specific non-homologous r</w:t>
      </w:r>
      <w:r>
        <w:rPr>
          <w:rFonts w:ascii="Times New Roman" w:eastAsia="Times New Roman" w:hAnsi="Times New Roman" w:cs="Times New Roman"/>
          <w:strike/>
          <w:sz w:val="24"/>
          <w:szCs w:val="24"/>
          <w:highlight w:val="yellow"/>
        </w:rPr>
        <w:t>ecombination events outside the LORe regions.</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one fundamental difference between European grayling and Atlantic salmon is that Atlantic salmon has the ability to migrate between fresh- and seawater (anadromy). </w:t>
      </w:r>
      <w:r>
        <w:rPr>
          <w:rFonts w:ascii="Times New Roman" w:eastAsia="Times New Roman" w:hAnsi="Times New Roman" w:cs="Times New Roman"/>
          <w:sz w:val="24"/>
          <w:szCs w:val="24"/>
          <w:highlight w:val="yellow"/>
        </w:rPr>
        <w:t>We demonstrate differences between Eu</w:t>
      </w:r>
      <w:r>
        <w:rPr>
          <w:rFonts w:ascii="Times New Roman" w:eastAsia="Times New Roman" w:hAnsi="Times New Roman" w:cs="Times New Roman"/>
          <w:sz w:val="24"/>
          <w:szCs w:val="24"/>
          <w:highlight w:val="yellow"/>
        </w:rPr>
        <w:t xml:space="preserve">ropean grayling and Atlantic salmon gill gene expression regulation for ohnologs of two key genes, NKCC1 and CFTR, involved in chloride ion homeostasis </w:t>
      </w:r>
      <w:hyperlink r:id="rId59">
        <w:r>
          <w:rPr>
            <w:rFonts w:ascii="Times New Roman" w:eastAsia="Times New Roman" w:hAnsi="Times New Roman" w:cs="Times New Roman"/>
            <w:color w:val="1155CC"/>
            <w:sz w:val="24"/>
            <w:szCs w:val="24"/>
            <w:highlight w:val="yellow"/>
            <w:u w:val="single"/>
          </w:rPr>
          <w:t>(Marshall and Singer 2002; Nilsen et al. 200</w:t>
        </w:r>
        <w:r>
          <w:rPr>
            <w:rFonts w:ascii="Times New Roman" w:eastAsia="Times New Roman" w:hAnsi="Times New Roman" w:cs="Times New Roman"/>
            <w:color w:val="1155CC"/>
            <w:sz w:val="24"/>
            <w:szCs w:val="24"/>
            <w:highlight w:val="yellow"/>
            <w:u w:val="single"/>
          </w:rPr>
          <w:t>7)</w:t>
        </w:r>
      </w:hyperlink>
      <w:r>
        <w:rPr>
          <w:rFonts w:ascii="Times New Roman" w:eastAsia="Times New Roman" w:hAnsi="Times New Roman" w:cs="Times New Roman"/>
          <w:sz w:val="24"/>
          <w:szCs w:val="24"/>
          <w:highlight w:val="yellow"/>
        </w:rPr>
        <w:t xml:space="preserve">. NKCC1 is involved in entry of chloride ions into the basolateral membrane and is known to be regulated during migration to saltwater. Our finding that only Atlantic salmon displays a strong gill expression bias for one Ss4R copy of NKCC1a </w:t>
      </w:r>
      <w:r>
        <w:rPr>
          <w:rFonts w:ascii="Times New Roman" w:eastAsia="Times New Roman" w:hAnsi="Times New Roman" w:cs="Times New Roman"/>
          <w:sz w:val="24"/>
          <w:szCs w:val="24"/>
          <w:highlight w:val="yellow"/>
        </w:rPr>
        <w:t xml:space="preserve">(Supplementary Figure S11) is congruent with evolution of adaptive evolution of novel gill expression regulation to ensure efficient ion transport in gills in anadromous salmonids. As for the CFTR ohnologs, the results points towards an ancestral </w:t>
      </w:r>
      <w:r>
        <w:rPr>
          <w:rFonts w:ascii="Times New Roman" w:eastAsia="Times New Roman" w:hAnsi="Times New Roman" w:cs="Times New Roman"/>
          <w:sz w:val="24"/>
          <w:szCs w:val="24"/>
          <w:highlight w:val="yellow"/>
        </w:rPr>
        <w:lastRenderedPageBreak/>
        <w:t>gill expr</w:t>
      </w:r>
      <w:r>
        <w:rPr>
          <w:rFonts w:ascii="Times New Roman" w:eastAsia="Times New Roman" w:hAnsi="Times New Roman" w:cs="Times New Roman"/>
          <w:sz w:val="24"/>
          <w:szCs w:val="24"/>
          <w:highlight w:val="yellow"/>
        </w:rPr>
        <w:t>ession dominance in a salmonid ancestor, followed by a grayling lineage-specific loss of both tissue expression specificity and gill expression dominance, accompanied by increased accumulation of non-synonymous substitutions (Figure 5a and b). Atlantic sal</w:t>
      </w:r>
      <w:r>
        <w:rPr>
          <w:rFonts w:ascii="Times New Roman" w:eastAsia="Times New Roman" w:hAnsi="Times New Roman" w:cs="Times New Roman"/>
          <w:sz w:val="24"/>
          <w:szCs w:val="24"/>
          <w:highlight w:val="yellow"/>
        </w:rPr>
        <w:t>mon on the other hand has retained both copies as “gill-specific”. The diverged expression of the CFTR gene copy in European grayling could be related to evolution of novel function, with the elevated dN/dS reflecting a mixture of positive selection on som</w:t>
      </w:r>
      <w:r>
        <w:rPr>
          <w:rFonts w:ascii="Times New Roman" w:eastAsia="Times New Roman" w:hAnsi="Times New Roman" w:cs="Times New Roman"/>
          <w:sz w:val="24"/>
          <w:szCs w:val="24"/>
          <w:highlight w:val="yellow"/>
        </w:rPr>
        <w:t>e codons and relaxed purifying selection on others. However, a more parsimonious model of CFTR evolution in European grayling would be that there has been a relaxation of purifying selection pressure to maintain both CFTR copies in the non-anadromous speci</w:t>
      </w:r>
      <w:r>
        <w:rPr>
          <w:rFonts w:ascii="Times New Roman" w:eastAsia="Times New Roman" w:hAnsi="Times New Roman" w:cs="Times New Roman"/>
          <w:sz w:val="24"/>
          <w:szCs w:val="24"/>
          <w:highlight w:val="yellow"/>
        </w:rPr>
        <w:t>es,</w:t>
      </w:r>
      <w:r>
        <w:rPr>
          <w:rFonts w:ascii="Times New Roman" w:eastAsia="Times New Roman" w:hAnsi="Times New Roman" w:cs="Times New Roman"/>
          <w:strike/>
          <w:color w:val="FF0000"/>
          <w:sz w:val="24"/>
          <w:szCs w:val="24"/>
          <w:highlight w:val="yellow"/>
        </w:rPr>
        <w:t xml:space="preserve"> resulting in the return to a single functional CFTR ohnolog copy in grayling</w:t>
      </w:r>
      <w:r>
        <w:rPr>
          <w:rFonts w:ascii="Times New Roman" w:eastAsia="Times New Roman" w:hAnsi="Times New Roman" w:cs="Times New Roman"/>
          <w:sz w:val="24"/>
          <w:szCs w:val="24"/>
          <w:highlight w:val="yellow"/>
        </w:rPr>
        <w:t>. We thus propose that maintaining two highly gill-specific CFTR gene copies could be an adaptive trait in anadromous salmonids to improve their ability to remove excess chlori</w:t>
      </w:r>
      <w:r>
        <w:rPr>
          <w:rFonts w:ascii="Times New Roman" w:eastAsia="Times New Roman" w:hAnsi="Times New Roman" w:cs="Times New Roman"/>
          <w:sz w:val="24"/>
          <w:szCs w:val="24"/>
          <w:highlight w:val="yellow"/>
        </w:rPr>
        <w:t xml:space="preserve">de ions and maintain ion homeostasis in the sea. </w:t>
      </w:r>
    </w:p>
    <w:p w:rsidR="00E94025" w:rsidRDefault="00571EC0" w:rsidP="00600B13">
      <w:pP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Conclusions</w:t>
      </w:r>
    </w:p>
    <w:p w:rsidR="00E94025" w:rsidRDefault="00571E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present a draft genome assembly of European grayling and use it for comparative studies with the reference genome assembly of Atlantic salmon. Our comparative genome and transcriptome analysi</w:t>
      </w:r>
      <w:r>
        <w:rPr>
          <w:rFonts w:ascii="Times New Roman" w:eastAsia="Times New Roman" w:hAnsi="Times New Roman" w:cs="Times New Roman"/>
          <w:sz w:val="24"/>
          <w:szCs w:val="24"/>
        </w:rPr>
        <w:t>s between Atlantic salmon and grayling provides novel insights into evolutionary fates of ohnologs subsequent to WGD and associations between signatures of selection pressures on gene duplicate regulation and the evolution of salmonid traits, including ana</w:t>
      </w:r>
      <w:r>
        <w:rPr>
          <w:rFonts w:ascii="Times New Roman" w:eastAsia="Times New Roman" w:hAnsi="Times New Roman" w:cs="Times New Roman"/>
          <w:sz w:val="24"/>
          <w:szCs w:val="24"/>
        </w:rPr>
        <w:t>dromy. Hence, the genome resource of grayling opens up new exciting avenues for utilizing salmonids as a model system to understand the evolutionary consequences of WGD in vertebrates.</w:t>
      </w:r>
    </w:p>
    <w:p w:rsidR="00E94025" w:rsidRDefault="00E94025">
      <w:pPr>
        <w:spacing w:line="360" w:lineRule="auto"/>
        <w:jc w:val="both"/>
        <w:rPr>
          <w:rFonts w:ascii="Times New Roman" w:eastAsia="Times New Roman" w:hAnsi="Times New Roman" w:cs="Times New Roman"/>
          <w:b/>
          <w:sz w:val="28"/>
          <w:szCs w:val="28"/>
        </w:rPr>
      </w:pP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Methods</w:t>
      </w:r>
    </w:p>
    <w:p w:rsidR="00E94025" w:rsidRDefault="00571EC0" w:rsidP="00600B13">
      <w:pPr>
        <w:widowControl w:val="0"/>
        <w:spacing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Sampling and sequencing</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male grayling specimen was sampl</w:t>
      </w:r>
      <w:r>
        <w:rPr>
          <w:rFonts w:ascii="Times New Roman" w:eastAsia="Times New Roman" w:hAnsi="Times New Roman" w:cs="Times New Roman"/>
          <w:sz w:val="24"/>
          <w:szCs w:val="24"/>
        </w:rPr>
        <w:t>ed outside of its spawning season (October 2012) from the River Glomma at Evenstad, Norway. The fish was humanely sacrificed and various tissue samples were immediately extracted and conserved for later DNA and RNA analysis. Fin clips were stored on 96% et</w:t>
      </w:r>
      <w:r>
        <w:rPr>
          <w:rFonts w:ascii="Times New Roman" w:eastAsia="Times New Roman" w:hAnsi="Times New Roman" w:cs="Times New Roman"/>
          <w:sz w:val="24"/>
          <w:szCs w:val="24"/>
        </w:rPr>
        <w:t>hanol for DNA sequencing. Tissues from muscle, gonad, liver, head kidney, spleen, brain, eye, gill and heart were stored in RNAlater for RNA extraction.</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DNA was extracted from fin clips using a standard high salt DNA extraction protocol. A paired-end l</w:t>
      </w:r>
      <w:r>
        <w:rPr>
          <w:rFonts w:ascii="Times New Roman" w:eastAsia="Times New Roman" w:hAnsi="Times New Roman" w:cs="Times New Roman"/>
          <w:sz w:val="24"/>
          <w:szCs w:val="24"/>
        </w:rPr>
        <w:t>ibrary with an insert size ~180 (</w:t>
      </w:r>
      <w:r>
        <w:rPr>
          <w:rFonts w:ascii="Times New Roman" w:eastAsia="Times New Roman" w:hAnsi="Times New Roman" w:cs="Times New Roman"/>
          <w:sz w:val="24"/>
          <w:szCs w:val="24"/>
          <w:highlight w:val="yellow"/>
        </w:rPr>
        <w:t>150 bp</w:t>
      </w:r>
      <w:r>
        <w:rPr>
          <w:rFonts w:ascii="Times New Roman" w:eastAsia="Times New Roman" w:hAnsi="Times New Roman" w:cs="Times New Roman"/>
          <w:sz w:val="24"/>
          <w:szCs w:val="24"/>
        </w:rPr>
        <w:t xml:space="preserve"> read length) and mate pair libraries of insert size ~3</w:t>
      </w:r>
      <w:r>
        <w:rPr>
          <w:rFonts w:ascii="Times New Roman" w:eastAsia="Times New Roman" w:hAnsi="Times New Roman" w:cs="Times New Roman"/>
          <w:sz w:val="24"/>
          <w:szCs w:val="24"/>
          <w:highlight w:val="yellow"/>
        </w:rPr>
        <w:t xml:space="preserve"> kb</w:t>
      </w:r>
      <w:r>
        <w:rPr>
          <w:rFonts w:ascii="Times New Roman" w:eastAsia="Times New Roman" w:hAnsi="Times New Roman" w:cs="Times New Roman"/>
          <w:sz w:val="24"/>
          <w:szCs w:val="24"/>
        </w:rPr>
        <w:t xml:space="preserve"> and 6 kb (</w:t>
      </w:r>
      <w:r>
        <w:rPr>
          <w:rFonts w:ascii="Times New Roman" w:eastAsia="Times New Roman" w:hAnsi="Times New Roman" w:cs="Times New Roman"/>
          <w:sz w:val="24"/>
          <w:szCs w:val="24"/>
          <w:highlight w:val="yellow"/>
        </w:rPr>
        <w:t>100 bp</w:t>
      </w:r>
      <w:r>
        <w:rPr>
          <w:rFonts w:ascii="Times New Roman" w:eastAsia="Times New Roman" w:hAnsi="Times New Roman" w:cs="Times New Roman"/>
          <w:sz w:val="24"/>
          <w:szCs w:val="24"/>
        </w:rPr>
        <w:t xml:space="preserve"> read length) were sequenced using the Illumina HiSeq2000 </w:t>
      </w:r>
      <w:r>
        <w:rPr>
          <w:rFonts w:ascii="Times New Roman" w:eastAsia="Times New Roman" w:hAnsi="Times New Roman" w:cs="Times New Roman"/>
          <w:sz w:val="24"/>
          <w:szCs w:val="24"/>
        </w:rPr>
        <w:lastRenderedPageBreak/>
        <w:t>platform (Table S1). Total RNA was extracted from the different tissue samples using</w:t>
      </w:r>
      <w:r>
        <w:rPr>
          <w:rFonts w:ascii="Times New Roman" w:eastAsia="Times New Roman" w:hAnsi="Times New Roman" w:cs="Times New Roman"/>
          <w:sz w:val="24"/>
          <w:szCs w:val="24"/>
        </w:rPr>
        <w:t xml:space="preserve"> the RNeasy mini kit (Qiagen) following the manufacturer’s instructions. The library construction and sequencing were carried out using Illumina TruSeq RNA Preparation kit on Illumina HiSeq2000 (Table S2). All the library preparation and sequencing </w:t>
      </w:r>
      <w:r>
        <w:rPr>
          <w:rFonts w:ascii="Times New Roman" w:eastAsia="Times New Roman" w:hAnsi="Times New Roman" w:cs="Times New Roman"/>
          <w:sz w:val="24"/>
          <w:szCs w:val="24"/>
          <w:highlight w:val="yellow"/>
        </w:rPr>
        <w:t>were</w:t>
      </w:r>
      <w:r>
        <w:rPr>
          <w:rFonts w:ascii="Times New Roman" w:eastAsia="Times New Roman" w:hAnsi="Times New Roman" w:cs="Times New Roman"/>
          <w:sz w:val="24"/>
          <w:szCs w:val="24"/>
        </w:rPr>
        <w:t xml:space="preserve"> pe</w:t>
      </w:r>
      <w:r>
        <w:rPr>
          <w:rFonts w:ascii="Times New Roman" w:eastAsia="Times New Roman" w:hAnsi="Times New Roman" w:cs="Times New Roman"/>
          <w:sz w:val="24"/>
          <w:szCs w:val="24"/>
        </w:rPr>
        <w:t>rformed at the McGill University and Génome Québec Innovation Centre.</w:t>
      </w:r>
    </w:p>
    <w:p w:rsidR="00E94025" w:rsidRDefault="00E94025">
      <w:pPr>
        <w:widowControl w:val="0"/>
        <w:spacing w:line="360" w:lineRule="auto"/>
        <w:jc w:val="both"/>
        <w:rPr>
          <w:rFonts w:ascii="Times New Roman" w:eastAsia="Times New Roman" w:hAnsi="Times New Roman" w:cs="Times New Roman"/>
          <w:sz w:val="24"/>
          <w:szCs w:val="24"/>
        </w:rPr>
      </w:pPr>
    </w:p>
    <w:p w:rsidR="00E94025" w:rsidRDefault="00571EC0" w:rsidP="00600B13">
      <w:pPr>
        <w:widowControl w:val="0"/>
        <w:spacing w:line="36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Genome assembly and validation</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The sequences were checked for their quality and adapter trimming was performed using cutadapt (version 1.0) </w:t>
      </w:r>
      <w:hyperlink r:id="rId60">
        <w:r>
          <w:rPr>
            <w:rFonts w:ascii="Times New Roman" w:eastAsia="Times New Roman" w:hAnsi="Times New Roman" w:cs="Times New Roman"/>
            <w:color w:val="1155CC"/>
            <w:sz w:val="24"/>
            <w:szCs w:val="24"/>
            <w:u w:val="single"/>
          </w:rPr>
          <w:t>(Martin 2011)</w:t>
        </w:r>
      </w:hyperlink>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 xml:space="preserve">de novo </w:t>
      </w:r>
      <w:r>
        <w:rPr>
          <w:rFonts w:ascii="Times New Roman" w:eastAsia="Times New Roman" w:hAnsi="Times New Roman" w:cs="Times New Roman"/>
          <w:sz w:val="24"/>
          <w:szCs w:val="24"/>
        </w:rPr>
        <w:t xml:space="preserve">assembly was generated with Allpaths-LG (release R48777) </w:t>
      </w:r>
      <w:hyperlink r:id="rId61">
        <w:r>
          <w:rPr>
            <w:rFonts w:ascii="Times New Roman" w:eastAsia="Times New Roman" w:hAnsi="Times New Roman" w:cs="Times New Roman"/>
            <w:color w:val="1155CC"/>
            <w:sz w:val="24"/>
            <w:szCs w:val="24"/>
            <w:u w:val="single"/>
          </w:rPr>
          <w:t>(Gnerre et al. 2011)</w:t>
        </w:r>
      </w:hyperlink>
      <w:r>
        <w:rPr>
          <w:rFonts w:ascii="Times New Roman" w:eastAsia="Times New Roman" w:hAnsi="Times New Roman" w:cs="Times New Roman"/>
          <w:sz w:val="24"/>
          <w:szCs w:val="24"/>
        </w:rPr>
        <w:t xml:space="preserve"> using the 180bp paired-end library and the </w:t>
      </w:r>
      <w:r>
        <w:rPr>
          <w:rFonts w:ascii="Times New Roman" w:eastAsia="Times New Roman" w:hAnsi="Times New Roman" w:cs="Times New Roman"/>
          <w:sz w:val="24"/>
          <w:szCs w:val="24"/>
        </w:rPr>
        <w:t xml:space="preserve">mate pair (3kb and 6kb) libraries. Assembly polishing was carried out using pilon (version 1.9) </w:t>
      </w:r>
      <w:hyperlink r:id="rId62">
        <w:r>
          <w:rPr>
            <w:rFonts w:ascii="Times New Roman" w:eastAsia="Times New Roman" w:hAnsi="Times New Roman" w:cs="Times New Roman"/>
            <w:color w:val="1155CC"/>
            <w:sz w:val="24"/>
            <w:szCs w:val="24"/>
            <w:u w:val="single"/>
          </w:rPr>
          <w:t>(Walker et al. 2014)</w:t>
        </w:r>
      </w:hyperlink>
      <w:r>
        <w:rPr>
          <w:rFonts w:ascii="Times New Roman" w:eastAsia="Times New Roman" w:hAnsi="Times New Roman" w:cs="Times New Roman"/>
          <w:sz w:val="24"/>
          <w:szCs w:val="24"/>
        </w:rPr>
        <w:t>. The high copy number of mitochondrial DNA often leads to high read coverage and th</w:t>
      </w:r>
      <w:r>
        <w:rPr>
          <w:rFonts w:ascii="Times New Roman" w:eastAsia="Times New Roman" w:hAnsi="Times New Roman" w:cs="Times New Roman"/>
          <w:sz w:val="24"/>
          <w:szCs w:val="24"/>
        </w:rPr>
        <w:t>us misassembly. The mitochondrial genome sequence in the assembly was thus reassembled by extracting the reads that mapped to the grayling (</w:t>
      </w:r>
      <w:r>
        <w:rPr>
          <w:rFonts w:ascii="Times New Roman" w:eastAsia="Times New Roman" w:hAnsi="Times New Roman" w:cs="Times New Roman"/>
          <w:i/>
          <w:sz w:val="24"/>
          <w:szCs w:val="24"/>
        </w:rPr>
        <w:t>Thymallus thymallus)</w:t>
      </w:r>
      <w:r>
        <w:rPr>
          <w:rFonts w:ascii="Times New Roman" w:eastAsia="Times New Roman" w:hAnsi="Times New Roman" w:cs="Times New Roman"/>
          <w:sz w:val="24"/>
          <w:szCs w:val="24"/>
        </w:rPr>
        <w:t xml:space="preserve"> mtDNA sequence (GenBank ID: NC_012928), followed by a variant calling step using Genome Analysi</w:t>
      </w:r>
      <w:r>
        <w:rPr>
          <w:rFonts w:ascii="Times New Roman" w:eastAsia="Times New Roman" w:hAnsi="Times New Roman" w:cs="Times New Roman"/>
          <w:sz w:val="24"/>
          <w:szCs w:val="24"/>
        </w:rPr>
        <w:t xml:space="preserve">s Toolkit (GATK) </w:t>
      </w:r>
      <w:r>
        <w:rPr>
          <w:rFonts w:ascii="Times New Roman" w:eastAsia="Times New Roman" w:hAnsi="Times New Roman" w:cs="Times New Roman"/>
          <w:color w:val="434343"/>
          <w:sz w:val="24"/>
          <w:szCs w:val="24"/>
        </w:rPr>
        <w:t xml:space="preserve">(version 3.4-46) </w:t>
      </w:r>
      <w:hyperlink r:id="rId63">
        <w:r>
          <w:rPr>
            <w:rFonts w:ascii="Times New Roman" w:eastAsia="Times New Roman" w:hAnsi="Times New Roman" w:cs="Times New Roman"/>
            <w:color w:val="1155CC"/>
            <w:sz w:val="24"/>
            <w:szCs w:val="24"/>
            <w:u w:val="single"/>
          </w:rPr>
          <w:t>(Van der Auwera et al. 2013)</w:t>
        </w:r>
      </w:hyperlink>
      <w:r>
        <w:rPr>
          <w:rFonts w:ascii="Times New Roman" w:eastAsia="Times New Roman" w:hAnsi="Times New Roman" w:cs="Times New Roman"/>
          <w:sz w:val="24"/>
          <w:szCs w:val="24"/>
        </w:rPr>
        <w:t xml:space="preserve">. The consensus mtDNA sequence thus obtained was added back to the assembly.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and correct possibly erroneous grayling scaffold</w:t>
      </w:r>
      <w:r>
        <w:rPr>
          <w:rFonts w:ascii="Times New Roman" w:eastAsia="Times New Roman" w:hAnsi="Times New Roman" w:cs="Times New Roman"/>
          <w:sz w:val="24"/>
          <w:szCs w:val="24"/>
        </w:rPr>
        <w:t xml:space="preserve">s, we aligned the scaffolds against a repeat masked version of the Atlantic salmon genome </w:t>
      </w:r>
      <w:hyperlink r:id="rId64">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using megablast (E-value threshold 1e-250). Stringent filtering of the aligned scaffolds (re</w:t>
      </w:r>
      <w:r>
        <w:rPr>
          <w:rFonts w:ascii="Times New Roman" w:eastAsia="Times New Roman" w:hAnsi="Times New Roman" w:cs="Times New Roman"/>
          <w:sz w:val="24"/>
          <w:szCs w:val="24"/>
        </w:rPr>
        <w:t>presenting 1.3 Gbp of the 1.4 Gbp assembly) identified 13 likely chimeric scaffolds mapping to two or more salmon chromosomes (Supplementary File 1), which were then selectively ‘broken’ between, apparently, incorrectly linked contigs.</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Transcriptome assem</w:t>
      </w:r>
      <w:r>
        <w:rPr>
          <w:rFonts w:ascii="Times New Roman" w:eastAsia="Times New Roman" w:hAnsi="Times New Roman" w:cs="Times New Roman"/>
          <w:b/>
          <w:sz w:val="24"/>
          <w:szCs w:val="24"/>
        </w:rPr>
        <w:t>bly</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RNA-Seq data from all the tissue samples were quality checked using FastQC (version 0.9.2). The sequences were assembled using the following two methods. Firstly, a </w:t>
      </w:r>
      <w:r>
        <w:rPr>
          <w:rFonts w:ascii="Times New Roman" w:eastAsia="Times New Roman" w:hAnsi="Times New Roman" w:cs="Times New Roman"/>
          <w:i/>
          <w:sz w:val="24"/>
          <w:szCs w:val="24"/>
        </w:rPr>
        <w:t>de-novo</w:t>
      </w:r>
      <w:r>
        <w:rPr>
          <w:rFonts w:ascii="Times New Roman" w:eastAsia="Times New Roman" w:hAnsi="Times New Roman" w:cs="Times New Roman"/>
          <w:sz w:val="24"/>
          <w:szCs w:val="24"/>
        </w:rPr>
        <w:t xml:space="preserve"> assembly was performed using the Trinity (version 2.0.6) </w:t>
      </w:r>
      <w:hyperlink r:id="rId65">
        <w:r>
          <w:rPr>
            <w:rFonts w:ascii="Times New Roman" w:eastAsia="Times New Roman" w:hAnsi="Times New Roman" w:cs="Times New Roman"/>
            <w:color w:val="1155CC"/>
            <w:sz w:val="24"/>
            <w:szCs w:val="24"/>
            <w:u w:val="single"/>
          </w:rPr>
          <w:t>(Grabherr et al. 2011)</w:t>
        </w:r>
      </w:hyperlink>
      <w:r>
        <w:rPr>
          <w:rFonts w:ascii="Times New Roman" w:eastAsia="Times New Roman" w:hAnsi="Times New Roman" w:cs="Times New Roman"/>
          <w:sz w:val="24"/>
          <w:szCs w:val="24"/>
        </w:rPr>
        <w:t xml:space="preserve"> pipeline with default parameters coupled with </w:t>
      </w:r>
      <w:r>
        <w:rPr>
          <w:rFonts w:ascii="Times New Roman" w:eastAsia="Times New Roman" w:hAnsi="Times New Roman" w:cs="Times New Roman"/>
          <w:i/>
          <w:sz w:val="24"/>
          <w:szCs w:val="24"/>
        </w:rPr>
        <w:t>in silico</w:t>
      </w:r>
      <w:r>
        <w:rPr>
          <w:rFonts w:ascii="Times New Roman" w:eastAsia="Times New Roman" w:hAnsi="Times New Roman" w:cs="Times New Roman"/>
          <w:sz w:val="24"/>
          <w:szCs w:val="24"/>
        </w:rPr>
        <w:t xml:space="preserve"> normalization. This resulted in 730,471 assembled transcript sequences with a mean length of </w:t>
      </w:r>
      <w:r>
        <w:rPr>
          <w:rFonts w:ascii="Times New Roman" w:eastAsia="Times New Roman" w:hAnsi="Times New Roman" w:cs="Times New Roman"/>
          <w:sz w:val="24"/>
          <w:szCs w:val="24"/>
          <w:highlight w:val="white"/>
        </w:rPr>
        <w:t>713 bases.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RSEM protocol</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based abundance estimation within the Trinity package was performed where the RNA-Seq reads were first aligned back to the assembled transcripts using Bowtie2 </w:t>
      </w:r>
      <w:hyperlink r:id="rId66">
        <w:r>
          <w:rPr>
            <w:rFonts w:ascii="Times New Roman" w:eastAsia="Times New Roman" w:hAnsi="Times New Roman" w:cs="Times New Roman"/>
            <w:color w:val="1155CC"/>
            <w:sz w:val="24"/>
            <w:szCs w:val="24"/>
            <w:u w:val="single"/>
          </w:rPr>
          <w:t>(Faust and Hall 2012)</w:t>
        </w:r>
      </w:hyperlink>
      <w:r>
        <w:rPr>
          <w:rFonts w:ascii="Times New Roman" w:eastAsia="Times New Roman" w:hAnsi="Times New Roman" w:cs="Times New Roman"/>
          <w:sz w:val="24"/>
          <w:szCs w:val="24"/>
        </w:rPr>
        <w:t>, followed by calcul</w:t>
      </w:r>
      <w:r>
        <w:rPr>
          <w:rFonts w:ascii="Times New Roman" w:eastAsia="Times New Roman" w:hAnsi="Times New Roman" w:cs="Times New Roman"/>
          <w:sz w:val="24"/>
          <w:szCs w:val="24"/>
        </w:rPr>
        <w:t xml:space="preserve">ation of various estimates including </w:t>
      </w:r>
      <w:r>
        <w:rPr>
          <w:rFonts w:ascii="Times New Roman" w:eastAsia="Times New Roman" w:hAnsi="Times New Roman" w:cs="Times New Roman"/>
          <w:color w:val="333333"/>
          <w:sz w:val="24"/>
          <w:szCs w:val="24"/>
          <w:highlight w:val="white"/>
        </w:rPr>
        <w:t xml:space="preserve">normalized expression values such as </w:t>
      </w:r>
      <w:r>
        <w:rPr>
          <w:rFonts w:ascii="Times New Roman" w:eastAsia="Times New Roman" w:hAnsi="Times New Roman" w:cs="Times New Roman"/>
          <w:sz w:val="24"/>
          <w:szCs w:val="24"/>
        </w:rPr>
        <w:t>FPKM</w:t>
      </w:r>
      <w:r>
        <w:rPr>
          <w:rFonts w:ascii="Times New Roman" w:eastAsia="Times New Roman" w:hAnsi="Times New Roman" w:cs="Times New Roman"/>
          <w:sz w:val="24"/>
          <w:szCs w:val="24"/>
          <w:highlight w:val="white"/>
        </w:rPr>
        <w:t xml:space="preserve"> (Fragments Per Kilobase Million)</w:t>
      </w:r>
      <w:r>
        <w:rPr>
          <w:rFonts w:ascii="Times New Roman" w:eastAsia="Times New Roman" w:hAnsi="Times New Roman" w:cs="Times New Roman"/>
          <w:sz w:val="24"/>
          <w:szCs w:val="24"/>
        </w:rPr>
        <w:t xml:space="preserve">. A script provided with Trinity was then used to filter </w:t>
      </w:r>
      <w:r>
        <w:rPr>
          <w:rFonts w:ascii="Times New Roman" w:eastAsia="Times New Roman" w:hAnsi="Times New Roman" w:cs="Times New Roman"/>
          <w:sz w:val="24"/>
          <w:szCs w:val="24"/>
        </w:rPr>
        <w:lastRenderedPageBreak/>
        <w:t>transcripts based on FPKM, retaining only those transcripts with a FPKM of at least one.</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reference-guided RNA assembly was performed by aligning the RNA reads to the genome assembly using STAR (version 2.4.1b) </w:t>
      </w:r>
      <w:hyperlink r:id="rId67">
        <w:r>
          <w:rPr>
            <w:rFonts w:ascii="Times New Roman" w:eastAsia="Times New Roman" w:hAnsi="Times New Roman" w:cs="Times New Roman"/>
            <w:color w:val="1155CC"/>
            <w:sz w:val="24"/>
            <w:szCs w:val="24"/>
            <w:u w:val="single"/>
          </w:rPr>
          <w:t>(Dobin et al. 2013)</w:t>
        </w:r>
      </w:hyperlink>
      <w:r>
        <w:rPr>
          <w:rFonts w:ascii="Times New Roman" w:eastAsia="Times New Roman" w:hAnsi="Times New Roman" w:cs="Times New Roman"/>
          <w:sz w:val="24"/>
          <w:szCs w:val="24"/>
        </w:rPr>
        <w:t xml:space="preserve">. Cufflinks (version 2.1.1) </w:t>
      </w:r>
      <w:hyperlink r:id="rId68">
        <w:r>
          <w:rPr>
            <w:rFonts w:ascii="Times New Roman" w:eastAsia="Times New Roman" w:hAnsi="Times New Roman" w:cs="Times New Roman"/>
            <w:color w:val="1155CC"/>
            <w:sz w:val="24"/>
            <w:szCs w:val="24"/>
            <w:u w:val="single"/>
          </w:rPr>
          <w:t>(Dobin et al. 2013; Trapnell et al. 2010)</w:t>
        </w:r>
      </w:hyperlink>
      <w:r>
        <w:rPr>
          <w:rFonts w:ascii="Times New Roman" w:eastAsia="Times New Roman" w:hAnsi="Times New Roman" w:cs="Times New Roman"/>
          <w:sz w:val="24"/>
          <w:szCs w:val="24"/>
        </w:rPr>
        <w:t xml:space="preserve"> and TransDecoder </w:t>
      </w:r>
      <w:hyperlink r:id="rId69">
        <w:r>
          <w:rPr>
            <w:rFonts w:ascii="Times New Roman" w:eastAsia="Times New Roman" w:hAnsi="Times New Roman" w:cs="Times New Roman"/>
            <w:color w:val="1155CC"/>
            <w:sz w:val="24"/>
            <w:szCs w:val="24"/>
            <w:u w:val="single"/>
          </w:rPr>
          <w:t>(Haas et al. 2013)</w:t>
        </w:r>
      </w:hyperlink>
      <w:r>
        <w:rPr>
          <w:rFonts w:ascii="Times New Roman" w:eastAsia="Times New Roman" w:hAnsi="Times New Roman" w:cs="Times New Roman"/>
          <w:sz w:val="24"/>
          <w:szCs w:val="24"/>
        </w:rPr>
        <w:t xml:space="preserve"> were used for transcript prediction and ORF (open reading frame) prediction, respe</w:t>
      </w:r>
      <w:r>
        <w:rPr>
          <w:rFonts w:ascii="Times New Roman" w:eastAsia="Times New Roman" w:hAnsi="Times New Roman" w:cs="Times New Roman"/>
          <w:sz w:val="24"/>
          <w:szCs w:val="24"/>
        </w:rPr>
        <w:t>ctively. The resulting transcripts were filtered and retained based on homology against zebrafish and stickleback proteins, using BlastP and PFAM (1e-05). The</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i/>
          <w:sz w:val="24"/>
          <w:szCs w:val="24"/>
          <w:highlight w:val="yellow"/>
        </w:rPr>
        <w:t>de novo</w:t>
      </w:r>
      <w:r>
        <w:rPr>
          <w:rFonts w:ascii="Times New Roman" w:eastAsia="Times New Roman" w:hAnsi="Times New Roman" w:cs="Times New Roman"/>
          <w:sz w:val="24"/>
          <w:szCs w:val="24"/>
        </w:rPr>
        <w:t xml:space="preserve"> method resulted in 134,368 transcripts and the reference</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based approach followed by filtering resulting in 55,346 transcripts.</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Genome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Annotation</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de novo</w:t>
      </w:r>
      <w:r>
        <w:rPr>
          <w:rFonts w:ascii="Times New Roman" w:eastAsia="Times New Roman" w:hAnsi="Times New Roman" w:cs="Times New Roman"/>
          <w:sz w:val="24"/>
          <w:szCs w:val="24"/>
        </w:rPr>
        <w:t xml:space="preserve"> repeat library was constructed using RepeatModeler with default parameters. Any sequence in the </w:t>
      </w:r>
      <w:r>
        <w:rPr>
          <w:rFonts w:ascii="Times New Roman" w:eastAsia="Times New Roman" w:hAnsi="Times New Roman" w:cs="Times New Roman"/>
          <w:i/>
          <w:sz w:val="24"/>
          <w:szCs w:val="24"/>
        </w:rPr>
        <w:t>de-novo</w:t>
      </w:r>
      <w:r>
        <w:rPr>
          <w:rFonts w:ascii="Times New Roman" w:eastAsia="Times New Roman" w:hAnsi="Times New Roman" w:cs="Times New Roman"/>
          <w:sz w:val="24"/>
          <w:szCs w:val="24"/>
        </w:rPr>
        <w:t xml:space="preserve"> library matching a known gene was removed using Blastx against the UniProt database. CENSOR and TEclass were used for classification of sequences that were not classified by RepeatModeler. Gene models were predicted using an automatic annotation pipeline </w:t>
      </w:r>
      <w:r>
        <w:rPr>
          <w:rFonts w:ascii="Times New Roman" w:eastAsia="Times New Roman" w:hAnsi="Times New Roman" w:cs="Times New Roman"/>
          <w:sz w:val="24"/>
          <w:szCs w:val="24"/>
        </w:rPr>
        <w:t>involving MAKER (version2.31.8) , in a two-pass iterative approach (as described in</w:t>
      </w:r>
      <w:hyperlink r:id="rId70">
        <w:r>
          <w:rPr>
            <w:rFonts w:ascii="Times New Roman" w:eastAsia="Times New Roman" w:hAnsi="Times New Roman" w:cs="Times New Roman"/>
            <w:sz w:val="24"/>
            <w:szCs w:val="24"/>
          </w:rPr>
          <w:t xml:space="preserve"> </w:t>
        </w:r>
      </w:hyperlink>
      <w:hyperlink r:id="rId71">
        <w:r>
          <w:rPr>
            <w:rFonts w:ascii="Times New Roman" w:eastAsia="Times New Roman" w:hAnsi="Times New Roman" w:cs="Times New Roman"/>
            <w:color w:val="1155CC"/>
            <w:sz w:val="24"/>
            <w:szCs w:val="24"/>
            <w:u w:val="single"/>
          </w:rPr>
          <w:t>https://github.com/sujaikumar/assemblage/blob/master/README-annotation.md</w:t>
        </w:r>
      </w:hyperlink>
      <w:r>
        <w:rPr>
          <w:rFonts w:ascii="Times New Roman" w:eastAsia="Times New Roman" w:hAnsi="Times New Roman" w:cs="Times New Roman"/>
          <w:sz w:val="24"/>
          <w:szCs w:val="24"/>
        </w:rPr>
        <w:t xml:space="preserve">). Firstly, </w:t>
      </w:r>
      <w:r>
        <w:rPr>
          <w:rFonts w:ascii="Times New Roman" w:eastAsia="Times New Roman" w:hAnsi="Times New Roman" w:cs="Times New Roman"/>
          <w:i/>
          <w:sz w:val="24"/>
          <w:szCs w:val="24"/>
        </w:rPr>
        <w:t>ab initio</w:t>
      </w:r>
      <w:r>
        <w:rPr>
          <w:rFonts w:ascii="Times New Roman" w:eastAsia="Times New Roman" w:hAnsi="Times New Roman" w:cs="Times New Roman"/>
          <w:sz w:val="24"/>
          <w:szCs w:val="24"/>
        </w:rPr>
        <w:t xml:space="preserve"> gene predictions were generated using GeneMark ES (version 2.3e) </w:t>
      </w:r>
      <w:hyperlink r:id="rId72">
        <w:r>
          <w:rPr>
            <w:rFonts w:ascii="Times New Roman" w:eastAsia="Times New Roman" w:hAnsi="Times New Roman" w:cs="Times New Roman"/>
            <w:color w:val="1155CC"/>
            <w:sz w:val="24"/>
            <w:szCs w:val="24"/>
            <w:u w:val="single"/>
          </w:rPr>
          <w:t>(Lomsadze 2005)</w:t>
        </w:r>
      </w:hyperlink>
      <w:r>
        <w:rPr>
          <w:rFonts w:ascii="Times New Roman" w:eastAsia="Times New Roman" w:hAnsi="Times New Roman" w:cs="Times New Roman"/>
          <w:sz w:val="24"/>
          <w:szCs w:val="24"/>
        </w:rPr>
        <w:t xml:space="preserve"> and SNAP (v</w:t>
      </w:r>
      <w:r>
        <w:rPr>
          <w:rFonts w:ascii="Times New Roman" w:eastAsia="Times New Roman" w:hAnsi="Times New Roman" w:cs="Times New Roman"/>
          <w:sz w:val="24"/>
          <w:szCs w:val="24"/>
        </w:rPr>
        <w:t xml:space="preserve">ersion 20131129) </w:t>
      </w:r>
      <w:hyperlink r:id="rId73">
        <w:r>
          <w:rPr>
            <w:rFonts w:ascii="Times New Roman" w:eastAsia="Times New Roman" w:hAnsi="Times New Roman" w:cs="Times New Roman"/>
            <w:color w:val="1155CC"/>
            <w:sz w:val="24"/>
            <w:szCs w:val="24"/>
            <w:u w:val="single"/>
          </w:rPr>
          <w:t>(Korf 2004)</w:t>
        </w:r>
      </w:hyperlink>
      <w:r>
        <w:rPr>
          <w:rFonts w:ascii="Times New Roman" w:eastAsia="Times New Roman" w:hAnsi="Times New Roman" w:cs="Times New Roman"/>
          <w:sz w:val="24"/>
          <w:szCs w:val="24"/>
        </w:rPr>
        <w:t xml:space="preserve"> trained on core eukaryotic gene dataset (CEGMA). The first round of MAKER was then run using the thus generated </w:t>
      </w:r>
      <w:r>
        <w:rPr>
          <w:rFonts w:ascii="Times New Roman" w:eastAsia="Times New Roman" w:hAnsi="Times New Roman" w:cs="Times New Roman"/>
          <w:i/>
          <w:sz w:val="24"/>
          <w:szCs w:val="24"/>
        </w:rPr>
        <w:t>ab initio</w:t>
      </w:r>
      <w:r>
        <w:rPr>
          <w:rFonts w:ascii="Times New Roman" w:eastAsia="Times New Roman" w:hAnsi="Times New Roman" w:cs="Times New Roman"/>
          <w:sz w:val="24"/>
          <w:szCs w:val="24"/>
        </w:rPr>
        <w:t xml:space="preserve"> models, with the UniProt database as the protein e</w:t>
      </w:r>
      <w:r>
        <w:rPr>
          <w:rFonts w:ascii="Times New Roman" w:eastAsia="Times New Roman" w:hAnsi="Times New Roman" w:cs="Times New Roman"/>
          <w:sz w:val="24"/>
          <w:szCs w:val="24"/>
        </w:rPr>
        <w:t xml:space="preserve">vidence, the </w:t>
      </w:r>
      <w:r>
        <w:rPr>
          <w:rFonts w:ascii="Times New Roman" w:eastAsia="Times New Roman" w:hAnsi="Times New Roman" w:cs="Times New Roman"/>
          <w:i/>
          <w:sz w:val="24"/>
          <w:szCs w:val="24"/>
        </w:rPr>
        <w:t>de novo</w:t>
      </w:r>
      <w:r>
        <w:rPr>
          <w:rFonts w:ascii="Times New Roman" w:eastAsia="Times New Roman" w:hAnsi="Times New Roman" w:cs="Times New Roman"/>
          <w:sz w:val="24"/>
          <w:szCs w:val="24"/>
        </w:rPr>
        <w:t xml:space="preserve"> identified repeat library and EST evidences from the transcriptomes assembled using </w:t>
      </w:r>
      <w:r>
        <w:rPr>
          <w:rFonts w:ascii="Times New Roman" w:eastAsia="Times New Roman" w:hAnsi="Times New Roman" w:cs="Times New Roman"/>
          <w:i/>
          <w:sz w:val="24"/>
          <w:szCs w:val="24"/>
        </w:rPr>
        <w:t>de novo</w:t>
      </w:r>
      <w:r>
        <w:rPr>
          <w:rFonts w:ascii="Times New Roman" w:eastAsia="Times New Roman" w:hAnsi="Times New Roman" w:cs="Times New Roman"/>
          <w:sz w:val="24"/>
          <w:szCs w:val="24"/>
        </w:rPr>
        <w:t xml:space="preserve"> and the reference guided approaches, along with the transcript sequences from the recent Atlantic salmon annotation </w:t>
      </w:r>
      <w:hyperlink r:id="rId74">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The second pass involved additional data from training AUGUSTUS </w:t>
      </w:r>
      <w:hyperlink r:id="rId75">
        <w:r>
          <w:rPr>
            <w:rFonts w:ascii="Times New Roman" w:eastAsia="Times New Roman" w:hAnsi="Times New Roman" w:cs="Times New Roman"/>
            <w:color w:val="1155CC"/>
            <w:sz w:val="24"/>
            <w:szCs w:val="24"/>
            <w:u w:val="single"/>
          </w:rPr>
          <w:t>(Stanke et al. 2008)</w:t>
        </w:r>
      </w:hyperlink>
      <w:r>
        <w:rPr>
          <w:rFonts w:ascii="Times New Roman" w:eastAsia="Times New Roman" w:hAnsi="Times New Roman" w:cs="Times New Roman"/>
          <w:sz w:val="24"/>
          <w:szCs w:val="24"/>
        </w:rPr>
        <w:t xml:space="preserve"> and SNAP models on the generated MAKER pred</w:t>
      </w:r>
      <w:r>
        <w:rPr>
          <w:rFonts w:ascii="Times New Roman" w:eastAsia="Times New Roman" w:hAnsi="Times New Roman" w:cs="Times New Roman"/>
          <w:sz w:val="24"/>
          <w:szCs w:val="24"/>
        </w:rPr>
        <w:t>ictions.</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Putative functions were added to the gene models using BlastP against the UniProt database (e-value 1e-5) and the domain annotations were added using InterProScan (version 5.4-47) </w:t>
      </w:r>
      <w:hyperlink r:id="rId76">
        <w:r>
          <w:rPr>
            <w:rFonts w:ascii="Times New Roman" w:eastAsia="Times New Roman" w:hAnsi="Times New Roman" w:cs="Times New Roman"/>
            <w:color w:val="1155CC"/>
            <w:sz w:val="24"/>
            <w:szCs w:val="24"/>
            <w:u w:val="single"/>
          </w:rPr>
          <w:t xml:space="preserve">(Quevillon </w:t>
        </w:r>
        <w:r>
          <w:rPr>
            <w:rFonts w:ascii="Times New Roman" w:eastAsia="Times New Roman" w:hAnsi="Times New Roman" w:cs="Times New Roman"/>
            <w:color w:val="1155CC"/>
            <w:sz w:val="24"/>
            <w:szCs w:val="24"/>
            <w:u w:val="single"/>
          </w:rPr>
          <w:t>et al. 2005)</w:t>
        </w:r>
      </w:hyperlink>
      <w:r>
        <w:rPr>
          <w:rFonts w:ascii="Times New Roman" w:eastAsia="Times New Roman" w:hAnsi="Times New Roman" w:cs="Times New Roman"/>
          <w:sz w:val="24"/>
          <w:szCs w:val="24"/>
        </w:rPr>
        <w:t>. Using the MAKER standard filtering approach, the resulting set of genes were first filtered using the threshold of AED (Annotation Edit Distance), retaining gene models with AED score less than 1 and PFAM domain annotation. AED is a quality s</w:t>
      </w:r>
      <w:r>
        <w:rPr>
          <w:rFonts w:ascii="Times New Roman" w:eastAsia="Times New Roman" w:hAnsi="Times New Roman" w:cs="Times New Roman"/>
          <w:sz w:val="24"/>
          <w:szCs w:val="24"/>
        </w:rPr>
        <w:t>core given by MAKER that ranges from 0 to 1 and indicates the concordance between predicted gene model and the evidence provided, where an AED of 0 indicates that the gene models completely conforms to the evidence. Further, for the genes with AED score of</w:t>
      </w:r>
      <w:r>
        <w:rPr>
          <w:rFonts w:ascii="Times New Roman" w:eastAsia="Times New Roman" w:hAnsi="Times New Roman" w:cs="Times New Roman"/>
          <w:sz w:val="24"/>
          <w:szCs w:val="24"/>
        </w:rPr>
        <w:t xml:space="preserve"> 1 and </w:t>
      </w:r>
      <w:r>
        <w:rPr>
          <w:rFonts w:ascii="Times New Roman" w:eastAsia="Times New Roman" w:hAnsi="Times New Roman" w:cs="Times New Roman"/>
          <w:sz w:val="24"/>
          <w:szCs w:val="24"/>
        </w:rPr>
        <w:lastRenderedPageBreak/>
        <w:t>no domain annotations, a more conservative Blast search was performed against UniProt proteins and Atlantic salmon proteins with an e-value cut-off of 1e-20. The genes with hits to either of these databases were also retained. The completeness of th</w:t>
      </w:r>
      <w:r>
        <w:rPr>
          <w:rFonts w:ascii="Times New Roman" w:eastAsia="Times New Roman" w:hAnsi="Times New Roman" w:cs="Times New Roman"/>
          <w:sz w:val="24"/>
          <w:szCs w:val="24"/>
        </w:rPr>
        <w:t xml:space="preserve">e annotations was again assessed using CEGMA </w:t>
      </w:r>
      <w:hyperlink r:id="rId77">
        <w:r>
          <w:rPr>
            <w:rFonts w:ascii="Times New Roman" w:eastAsia="Times New Roman" w:hAnsi="Times New Roman" w:cs="Times New Roman"/>
            <w:color w:val="1155CC"/>
            <w:sz w:val="24"/>
            <w:szCs w:val="24"/>
            <w:u w:val="single"/>
          </w:rPr>
          <w:t>(Parra et al. 2007)</w:t>
        </w:r>
      </w:hyperlink>
      <w:r>
        <w:rPr>
          <w:rFonts w:ascii="Times New Roman" w:eastAsia="Times New Roman" w:hAnsi="Times New Roman" w:cs="Times New Roman"/>
          <w:sz w:val="24"/>
          <w:szCs w:val="24"/>
        </w:rPr>
        <w:t xml:space="preserve"> and BUSCO </w:t>
      </w:r>
      <w:hyperlink r:id="rId78">
        <w:r>
          <w:rPr>
            <w:rFonts w:ascii="Times New Roman" w:eastAsia="Times New Roman" w:hAnsi="Times New Roman" w:cs="Times New Roman"/>
            <w:color w:val="1155CC"/>
            <w:sz w:val="24"/>
            <w:szCs w:val="24"/>
            <w:u w:val="single"/>
          </w:rPr>
          <w:t>(Simão et al. 2015)</w:t>
        </w:r>
      </w:hyperlink>
      <w:r>
        <w:rPr>
          <w:rFonts w:ascii="Times New Roman" w:eastAsia="Times New Roman" w:hAnsi="Times New Roman" w:cs="Times New Roman"/>
          <w:sz w:val="24"/>
          <w:szCs w:val="24"/>
        </w:rPr>
        <w:t>.</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Analysis of orthologous groups</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used orthofin</w:t>
      </w:r>
      <w:r>
        <w:rPr>
          <w:rFonts w:ascii="Times New Roman" w:eastAsia="Times New Roman" w:hAnsi="Times New Roman" w:cs="Times New Roman"/>
          <w:sz w:val="24"/>
          <w:szCs w:val="24"/>
        </w:rPr>
        <w:t>der (version 0.2.8,</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e-value threshold at 1e-05) </w:t>
      </w:r>
      <w:hyperlink r:id="rId79">
        <w:r>
          <w:rPr>
            <w:rFonts w:ascii="Times New Roman" w:eastAsia="Times New Roman" w:hAnsi="Times New Roman" w:cs="Times New Roman"/>
            <w:color w:val="1155CC"/>
            <w:sz w:val="24"/>
            <w:szCs w:val="24"/>
            <w:u w:val="single"/>
          </w:rPr>
          <w:t>(Emms and Kelly 2015)</w:t>
        </w:r>
      </w:hyperlink>
      <w:r>
        <w:rPr>
          <w:rFonts w:ascii="Times New Roman" w:eastAsia="Times New Roman" w:hAnsi="Times New Roman" w:cs="Times New Roman"/>
          <w:sz w:val="24"/>
          <w:szCs w:val="24"/>
        </w:rPr>
        <w:t xml:space="preserve"> to identified orthologous gene groups (i.e orthogroup). As input to orthofinder, we used the MAKER-derived </w:t>
      </w:r>
      <w:r>
        <w:rPr>
          <w:rFonts w:ascii="Times New Roman" w:eastAsia="Times New Roman" w:hAnsi="Times New Roman" w:cs="Times New Roman"/>
          <w:i/>
          <w:sz w:val="24"/>
          <w:szCs w:val="24"/>
        </w:rPr>
        <w:t>T. thymallus</w:t>
      </w:r>
      <w:r>
        <w:rPr>
          <w:rFonts w:ascii="Times New Roman" w:eastAsia="Times New Roman" w:hAnsi="Times New Roman" w:cs="Times New Roman"/>
          <w:sz w:val="24"/>
          <w:szCs w:val="24"/>
        </w:rPr>
        <w:t xml:space="preserve"> gene model</w:t>
      </w:r>
      <w:r>
        <w:rPr>
          <w:rFonts w:ascii="Times New Roman" w:eastAsia="Times New Roman" w:hAnsi="Times New Roman" w:cs="Times New Roman"/>
          <w:sz w:val="24"/>
          <w:szCs w:val="24"/>
        </w:rPr>
        <w:t>s as well as protein sequences from three additional salmonid species (Atlantic salmon, Rainbow trout and coho salmon), four non-salmonid teleost species (</w:t>
      </w:r>
      <w:r>
        <w:rPr>
          <w:rFonts w:ascii="Times New Roman" w:eastAsia="Times New Roman" w:hAnsi="Times New Roman" w:cs="Times New Roman"/>
          <w:i/>
          <w:sz w:val="24"/>
          <w:szCs w:val="24"/>
        </w:rPr>
        <w:t>Esox lucius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Danio rerio, Gasterosteus aculeatus, Oryzias latipes),</w:t>
      </w:r>
      <w:r>
        <w:rPr>
          <w:rFonts w:ascii="Times New Roman" w:eastAsia="Times New Roman" w:hAnsi="Times New Roman" w:cs="Times New Roman"/>
          <w:sz w:val="24"/>
          <w:szCs w:val="24"/>
        </w:rPr>
        <w:t xml:space="preserve"> and two mammalian outgroups (</w:t>
      </w:r>
      <w:r>
        <w:rPr>
          <w:rFonts w:ascii="Times New Roman" w:eastAsia="Times New Roman" w:hAnsi="Times New Roman" w:cs="Times New Roman"/>
          <w:i/>
          <w:sz w:val="24"/>
          <w:szCs w:val="24"/>
        </w:rPr>
        <w:t>Homo</w:t>
      </w:r>
      <w:r>
        <w:rPr>
          <w:rFonts w:ascii="Times New Roman" w:eastAsia="Times New Roman" w:hAnsi="Times New Roman" w:cs="Times New Roman"/>
          <w:i/>
          <w:sz w:val="24"/>
          <w:szCs w:val="24"/>
        </w:rPr>
        <w:t xml:space="preserve"> sapiens, Mus musculus)</w:t>
      </w:r>
      <w:r>
        <w:rPr>
          <w:rFonts w:ascii="Times New Roman" w:eastAsia="Times New Roman" w:hAnsi="Times New Roman" w:cs="Times New Roman"/>
          <w:sz w:val="24"/>
          <w:szCs w:val="24"/>
        </w:rPr>
        <w:t xml:space="preserve">. Rainbow trout protein annotations were taken from https://www.genoscope.cns.fr/trout/. Atlantic salmon, </w:t>
      </w:r>
      <w:r>
        <w:rPr>
          <w:rFonts w:ascii="Times New Roman" w:eastAsia="Times New Roman" w:hAnsi="Times New Roman" w:cs="Times New Roman"/>
          <w:i/>
          <w:sz w:val="24"/>
          <w:szCs w:val="24"/>
        </w:rPr>
        <w:t>Esox lucius</w:t>
      </w:r>
      <w:r>
        <w:rPr>
          <w:rFonts w:ascii="Times New Roman" w:eastAsia="Times New Roman" w:hAnsi="Times New Roman" w:cs="Times New Roman"/>
          <w:sz w:val="24"/>
          <w:szCs w:val="24"/>
        </w:rPr>
        <w:t xml:space="preserve"> data were downloaded from NCBI ftp server (ftp://ftp.ncbi.nih.gov/genomes/, release 100). The transcriptome data for coho salmon was obtained from NCBI (GDQG00000000.1) and translated using TransDecoder. All other annotations were downloaded from ENSEMBL.</w:t>
      </w:r>
      <w:r>
        <w:rPr>
          <w:rFonts w:ascii="Times New Roman" w:eastAsia="Times New Roman" w:hAnsi="Times New Roman" w:cs="Times New Roman"/>
          <w:sz w:val="24"/>
          <w:szCs w:val="24"/>
        </w:rPr>
        <w:t xml:space="preserve">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set of orthogroup proteins were then aligned using MAFFT(v7.130) </w:t>
      </w:r>
      <w:hyperlink r:id="rId80">
        <w:r>
          <w:rPr>
            <w:rFonts w:ascii="Times New Roman" w:eastAsia="Times New Roman" w:hAnsi="Times New Roman" w:cs="Times New Roman"/>
            <w:color w:val="1155CC"/>
            <w:sz w:val="24"/>
            <w:szCs w:val="24"/>
            <w:u w:val="single"/>
          </w:rPr>
          <w:t>(Katoh et al. 2002)</w:t>
        </w:r>
      </w:hyperlink>
      <w:r>
        <w:rPr>
          <w:rFonts w:ascii="Times New Roman" w:eastAsia="Times New Roman" w:hAnsi="Times New Roman" w:cs="Times New Roman"/>
          <w:sz w:val="24"/>
          <w:szCs w:val="24"/>
        </w:rPr>
        <w:t xml:space="preserve"> using default settings and the resulting alignments were then used to infer maximum likelihood gene trees usi</w:t>
      </w:r>
      <w:r>
        <w:rPr>
          <w:rFonts w:ascii="Times New Roman" w:eastAsia="Times New Roman" w:hAnsi="Times New Roman" w:cs="Times New Roman"/>
          <w:sz w:val="24"/>
          <w:szCs w:val="24"/>
        </w:rPr>
        <w:t xml:space="preserve">ng FastTree (v2.1.8) </w:t>
      </w:r>
      <w:hyperlink r:id="rId81">
        <w:r>
          <w:rPr>
            <w:rFonts w:ascii="Times New Roman" w:eastAsia="Times New Roman" w:hAnsi="Times New Roman" w:cs="Times New Roman"/>
            <w:color w:val="1155CC"/>
            <w:sz w:val="24"/>
            <w:szCs w:val="24"/>
            <w:u w:val="single"/>
          </w:rPr>
          <w:t>(Price et al. 2010)</w:t>
        </w:r>
      </w:hyperlink>
      <w:r>
        <w:rPr>
          <w:rFonts w:ascii="Times New Roman" w:eastAsia="Times New Roman" w:hAnsi="Times New Roman" w:cs="Times New Roman"/>
          <w:sz w:val="24"/>
          <w:szCs w:val="24"/>
        </w:rPr>
        <w:t xml:space="preserve"> (Figure 1 a and b). As we were only interested in gene trees containing information on Ss4R duplicates, complex orthogroup gene trees (i.e. containing 2R or 3R </w:t>
      </w:r>
      <w:r>
        <w:rPr>
          <w:rFonts w:ascii="Times New Roman" w:eastAsia="Times New Roman" w:hAnsi="Times New Roman" w:cs="Times New Roman"/>
          <w:sz w:val="24"/>
          <w:szCs w:val="24"/>
        </w:rPr>
        <w:t xml:space="preserve">duplicates of salmonid genes) were subdivided into the smallest possible subtrees. To this end, we developed an algorithm to extract all clans (defined as unrooted monophyletic clade) from each unrooted tree </w:t>
      </w:r>
      <w:hyperlink r:id="rId82">
        <w:r>
          <w:rPr>
            <w:rFonts w:ascii="Times New Roman" w:eastAsia="Times New Roman" w:hAnsi="Times New Roman" w:cs="Times New Roman"/>
            <w:color w:val="1155CC"/>
            <w:sz w:val="24"/>
            <w:szCs w:val="24"/>
            <w:u w:val="single"/>
          </w:rPr>
          <w:t>(Wilkinson et al. 2007)</w:t>
        </w:r>
      </w:hyperlink>
      <w:r>
        <w:rPr>
          <w:rFonts w:ascii="Times New Roman" w:eastAsia="Times New Roman" w:hAnsi="Times New Roman" w:cs="Times New Roman"/>
          <w:sz w:val="24"/>
          <w:szCs w:val="24"/>
        </w:rPr>
        <w:t xml:space="preserve"> with two monophyletic salmonid tips as well as non-salmonid outgroups resulting in a final set of 20,342 gene trees. In total, 31,291 grayling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genes were assigned to a clan (Figure 1 and Supplementary Figure S2). We then ide</w:t>
      </w:r>
      <w:r>
        <w:rPr>
          <w:rFonts w:ascii="Times New Roman" w:eastAsia="Times New Roman" w:hAnsi="Times New Roman" w:cs="Times New Roman"/>
          <w:sz w:val="24"/>
          <w:szCs w:val="24"/>
        </w:rPr>
        <w:t xml:space="preserve">ntified homoelogy in the Atlantic salmon genome by integrating all-vs-all protein BLAST alignments with a priori information of Ss4R synteny as described in Lien et al. 2016 </w:t>
      </w:r>
      <w:hyperlink r:id="rId83">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Using t</w:t>
      </w:r>
      <w:r>
        <w:rPr>
          <w:rFonts w:ascii="Times New Roman" w:eastAsia="Times New Roman" w:hAnsi="Times New Roman" w:cs="Times New Roman"/>
          <w:sz w:val="24"/>
          <w:szCs w:val="24"/>
        </w:rPr>
        <w:t xml:space="preserve">he homeology information, we inferred a set of high confidence ohnologs originating from Ss4R. The clans were grouped based on the gene tree topology into duplicates representing LORe and those with ancestrally diverged duplicates (AORe). The LORe regions </w:t>
      </w:r>
      <w:r>
        <w:rPr>
          <w:rFonts w:ascii="Times New Roman" w:eastAsia="Times New Roman" w:hAnsi="Times New Roman" w:cs="Times New Roman"/>
          <w:sz w:val="24"/>
          <w:szCs w:val="24"/>
        </w:rPr>
        <w:t xml:space="preserve">were further categorized into two (duplicated or collapsed) based on the number of corresponding </w:t>
      </w:r>
      <w:r>
        <w:rPr>
          <w:rFonts w:ascii="Times New Roman" w:eastAsia="Times New Roman" w:hAnsi="Times New Roman" w:cs="Times New Roman"/>
          <w:i/>
          <w:sz w:val="24"/>
          <w:szCs w:val="24"/>
        </w:rPr>
        <w:t>T.thymallus</w:t>
      </w:r>
      <w:r>
        <w:rPr>
          <w:rFonts w:ascii="Times New Roman" w:eastAsia="Times New Roman" w:hAnsi="Times New Roman" w:cs="Times New Roman"/>
          <w:sz w:val="24"/>
          <w:szCs w:val="24"/>
        </w:rPr>
        <w:t xml:space="preserve"> orthologs. This data was plotted on Atlantic salmon chromosomes using circos plot generated using OmicCircos </w:t>
      </w:r>
      <w:r>
        <w:rPr>
          <w:rFonts w:ascii="Times New Roman" w:eastAsia="Times New Roman" w:hAnsi="Times New Roman" w:cs="Times New Roman"/>
          <w:sz w:val="24"/>
          <w:szCs w:val="24"/>
        </w:rPr>
        <w:lastRenderedPageBreak/>
        <w:t>(</w:t>
      </w:r>
      <w:hyperlink r:id="rId84">
        <w:r>
          <w:rPr>
            <w:rFonts w:ascii="Times New Roman" w:eastAsia="Times New Roman" w:hAnsi="Times New Roman" w:cs="Times New Roman"/>
            <w:color w:val="6611CC"/>
            <w:sz w:val="24"/>
            <w:szCs w:val="24"/>
            <w:highlight w:val="white"/>
            <w:u w:val="single"/>
          </w:rPr>
          <w:t>https://bioconductor.org/packages/release/bioc/html/OmicCircos.html</w:t>
        </w:r>
      </w:hyperlink>
      <w:r>
        <w:rPr>
          <w:rFonts w:ascii="Times New Roman" w:eastAsia="Times New Roman" w:hAnsi="Times New Roman" w:cs="Times New Roman"/>
          <w:sz w:val="24"/>
          <w:szCs w:val="24"/>
        </w:rPr>
        <w:t>). The LORe and AORe ohnologs with two copies in each species are hereafter referred to as ohnolog-tetrads (</w:t>
      </w:r>
      <w:r>
        <w:rPr>
          <w:rFonts w:ascii="Times New Roman" w:eastAsia="Times New Roman" w:hAnsi="Times New Roman" w:cs="Times New Roman"/>
          <w:sz w:val="24"/>
          <w:szCs w:val="24"/>
          <w:highlight w:val="yellow"/>
        </w:rPr>
        <w:t>See Supplementary Figure S13 fo</w:t>
      </w:r>
      <w:r>
        <w:rPr>
          <w:rFonts w:ascii="Times New Roman" w:eastAsia="Times New Roman" w:hAnsi="Times New Roman" w:cs="Times New Roman"/>
          <w:sz w:val="24"/>
          <w:szCs w:val="24"/>
          <w:highlight w:val="yellow"/>
        </w:rPr>
        <w:t>r summary of the above steps</w:t>
      </w:r>
      <w:r>
        <w:rPr>
          <w:rFonts w:ascii="Times New Roman" w:eastAsia="Times New Roman" w:hAnsi="Times New Roman" w:cs="Times New Roman"/>
          <w:sz w:val="24"/>
          <w:szCs w:val="24"/>
        </w:rPr>
        <w:t xml:space="preserve">). </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Expression divergence and conservation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grayling RNA-Seq reads from each of the eight tissues (liver, muscle, spleen, heart, head kidney, eye, brain, gills) were mapped to the genome assembly using STAR (version 2.4.1b)</w:t>
      </w:r>
      <w:r>
        <w:rPr>
          <w:rFonts w:ascii="Times New Roman" w:eastAsia="Times New Roman" w:hAnsi="Times New Roman" w:cs="Times New Roman"/>
          <w:sz w:val="24"/>
          <w:szCs w:val="24"/>
        </w:rPr>
        <w:t xml:space="preserve">. The reads uniquely mapping to the gene features were quantified using htseq-count </w:t>
      </w:r>
      <w:hyperlink r:id="rId85">
        <w:r>
          <w:rPr>
            <w:rFonts w:ascii="Times New Roman" w:eastAsia="Times New Roman" w:hAnsi="Times New Roman" w:cs="Times New Roman"/>
            <w:color w:val="1155CC"/>
            <w:sz w:val="24"/>
            <w:szCs w:val="24"/>
            <w:u w:val="single"/>
          </w:rPr>
          <w:t>(Anders et al. 2015)</w:t>
        </w:r>
      </w:hyperlink>
      <w:r>
        <w:rPr>
          <w:rFonts w:ascii="Times New Roman" w:eastAsia="Times New Roman" w:hAnsi="Times New Roman" w:cs="Times New Roman"/>
          <w:sz w:val="24"/>
          <w:szCs w:val="24"/>
        </w:rPr>
        <w:t xml:space="preserve">. The CPM value (counts per million), here used as a proxy for expression, was then calculated using edgeR </w:t>
      </w:r>
      <w:hyperlink r:id="rId86">
        <w:r>
          <w:rPr>
            <w:rFonts w:ascii="Times New Roman" w:eastAsia="Times New Roman" w:hAnsi="Times New Roman" w:cs="Times New Roman"/>
            <w:color w:val="1155CC"/>
            <w:sz w:val="24"/>
            <w:szCs w:val="24"/>
            <w:u w:val="single"/>
          </w:rPr>
          <w:t>(Robinson et al. 2010)</w:t>
        </w:r>
      </w:hyperlink>
      <w:r>
        <w:rPr>
          <w:rFonts w:ascii="Times New Roman" w:eastAsia="Times New Roman" w:hAnsi="Times New Roman" w:cs="Times New Roman"/>
          <w:sz w:val="24"/>
          <w:szCs w:val="24"/>
        </w:rPr>
        <w:t>. Similar CPM datasets were obtained from Atlantic salmon RNA-seq data r</w:t>
      </w:r>
      <w:r>
        <w:rPr>
          <w:rFonts w:ascii="Times New Roman" w:eastAsia="Times New Roman" w:hAnsi="Times New Roman" w:cs="Times New Roman"/>
          <w:sz w:val="24"/>
          <w:szCs w:val="24"/>
        </w:rPr>
        <w:t xml:space="preserve">eported in Lien et al </w:t>
      </w:r>
      <w:hyperlink r:id="rId87">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Filtering of ortholog groups (i.e. clans) was performed prior to analyses of expression evolution of Ss4R ohnologs: 1) we only considered Ss4R duplicates that</w:t>
      </w:r>
      <w:r>
        <w:rPr>
          <w:rFonts w:ascii="Times New Roman" w:eastAsia="Times New Roman" w:hAnsi="Times New Roman" w:cs="Times New Roman"/>
          <w:sz w:val="24"/>
          <w:szCs w:val="24"/>
        </w:rPr>
        <w:t xml:space="preserve"> were retained in both Atlantic salmon and grayling, 2) the Ss4R duplicates were classified into AORe or LORe, based on topologies of the ortholog group gene trees, only gene pairs with non-zero CPM value were considered. This filtering resulted in a set o</w:t>
      </w:r>
      <w:r>
        <w:rPr>
          <w:rFonts w:ascii="Times New Roman" w:eastAsia="Times New Roman" w:hAnsi="Times New Roman" w:cs="Times New Roman"/>
          <w:sz w:val="24"/>
          <w:szCs w:val="24"/>
        </w:rPr>
        <w:t>f 5,070 duplicate pairs from both Atlantic salmon and grayling (ohnolog-tetrads) (</w:t>
      </w:r>
      <w:r>
        <w:rPr>
          <w:rFonts w:ascii="Times New Roman" w:eastAsia="Times New Roman" w:hAnsi="Times New Roman" w:cs="Times New Roman"/>
          <w:sz w:val="24"/>
          <w:szCs w:val="24"/>
          <w:highlight w:val="yellow"/>
        </w:rPr>
        <w:t>summarized in Supplementary Figure S13</w:t>
      </w:r>
      <w:r>
        <w:rPr>
          <w:rFonts w:ascii="Times New Roman" w:eastAsia="Times New Roman" w:hAnsi="Times New Roman" w:cs="Times New Roman"/>
          <w:sz w:val="24"/>
          <w:szCs w:val="24"/>
        </w:rPr>
        <w:t>). The gene expression values from the gene duplicates in the ohnolog-tetrads were clustered using hclust function in R, using Pearson c</w:t>
      </w:r>
      <w:r>
        <w:rPr>
          <w:rFonts w:ascii="Times New Roman" w:eastAsia="Times New Roman" w:hAnsi="Times New Roman" w:cs="Times New Roman"/>
          <w:sz w:val="24"/>
          <w:szCs w:val="24"/>
        </w:rPr>
        <w:t xml:space="preserve">orrelation into eight tissue dominated clusters. The expression pattern in the eight clusters of the genes in ohnolog-tetrads was used to further classify them into one of the ohnolog expression evolution categories (see Table 2). The ohnolog-tetrads were </w:t>
      </w:r>
      <w:r>
        <w:rPr>
          <w:rFonts w:ascii="Times New Roman" w:eastAsia="Times New Roman" w:hAnsi="Times New Roman" w:cs="Times New Roman"/>
          <w:sz w:val="24"/>
          <w:szCs w:val="24"/>
        </w:rPr>
        <w:t>further filtered based on expected topologies under LORe and AORe scenarios (</w:t>
      </w:r>
      <w:r>
        <w:rPr>
          <w:rFonts w:ascii="Times New Roman" w:eastAsia="Times New Roman" w:hAnsi="Times New Roman" w:cs="Times New Roman"/>
          <w:sz w:val="24"/>
          <w:szCs w:val="24"/>
          <w:highlight w:val="yellow"/>
        </w:rPr>
        <w:t>See Supplementary Figure S13</w:t>
      </w:r>
      <w:r>
        <w:rPr>
          <w:rFonts w:ascii="Times New Roman" w:eastAsia="Times New Roman" w:hAnsi="Times New Roman" w:cs="Times New Roman"/>
          <w:sz w:val="24"/>
          <w:szCs w:val="24"/>
        </w:rPr>
        <w:t>). Heatmaps of expression counts were plotted using pheatmap package in R (</w:t>
      </w:r>
      <w:hyperlink r:id="rId88">
        <w:r>
          <w:rPr>
            <w:rFonts w:ascii="Times New Roman" w:eastAsia="Times New Roman" w:hAnsi="Times New Roman" w:cs="Times New Roman"/>
            <w:color w:val="0000FF"/>
            <w:sz w:val="24"/>
            <w:szCs w:val="24"/>
            <w:highlight w:val="white"/>
            <w:u w:val="single"/>
          </w:rPr>
          <w:t>https://CRAN.</w:t>
        </w:r>
        <w:r>
          <w:rPr>
            <w:rFonts w:ascii="Times New Roman" w:eastAsia="Times New Roman" w:hAnsi="Times New Roman" w:cs="Times New Roman"/>
            <w:color w:val="0000FF"/>
            <w:sz w:val="24"/>
            <w:szCs w:val="24"/>
            <w:highlight w:val="white"/>
            <w:u w:val="single"/>
          </w:rPr>
          <w:t>R-project.org/package=pheatmap</w:t>
        </w:r>
      </w:hyperlink>
      <w:r>
        <w:rPr>
          <w:rFonts w:ascii="Times New Roman" w:eastAsia="Times New Roman" w:hAnsi="Times New Roman" w:cs="Times New Roman"/>
          <w:sz w:val="24"/>
          <w:szCs w:val="24"/>
        </w:rPr>
        <w:t xml:space="preserve">). To quantify the breadth of expression (i.e., the number of tissues a gene is expressed in), we calculated the tissue specificity index Tau </w:t>
      </w:r>
      <w:hyperlink r:id="rId89">
        <w:r>
          <w:rPr>
            <w:rFonts w:ascii="Times New Roman" w:eastAsia="Times New Roman" w:hAnsi="Times New Roman" w:cs="Times New Roman"/>
            <w:color w:val="1155CC"/>
            <w:sz w:val="24"/>
            <w:szCs w:val="24"/>
            <w:u w:val="single"/>
          </w:rPr>
          <w:t>(Yanai et al. 2005)</w:t>
        </w:r>
      </w:hyperlink>
      <w:r>
        <w:rPr>
          <w:rFonts w:ascii="Times New Roman" w:eastAsia="Times New Roman" w:hAnsi="Times New Roman" w:cs="Times New Roman"/>
          <w:sz w:val="24"/>
          <w:szCs w:val="24"/>
        </w:rPr>
        <w:t xml:space="preserve"> for all t</w:t>
      </w:r>
      <w:r>
        <w:rPr>
          <w:rFonts w:ascii="Times New Roman" w:eastAsia="Times New Roman" w:hAnsi="Times New Roman" w:cs="Times New Roman"/>
          <w:sz w:val="24"/>
          <w:szCs w:val="24"/>
        </w:rPr>
        <w:t xml:space="preserve">he genes in ohnolog-tetrads, where a </w:t>
      </w:r>
      <w:r>
        <w:rPr>
          <w:rFonts w:ascii="Times New Roman" w:eastAsia="Times New Roman" w:hAnsi="Times New Roman" w:cs="Times New Roman"/>
          <w:sz w:val="24"/>
          <w:szCs w:val="24"/>
        </w:rPr>
        <w:t>𝜏</w:t>
      </w:r>
      <w:r>
        <w:rPr>
          <w:rFonts w:ascii="Times New Roman" w:eastAsia="Times New Roman" w:hAnsi="Times New Roman" w:cs="Times New Roman"/>
          <w:sz w:val="24"/>
          <w:szCs w:val="24"/>
        </w:rPr>
        <w:t xml:space="preserve"> value approaching 1 indicates higher tissue specificity while 0 indicates ubiquitous expression. </w:t>
      </w:r>
    </w:p>
    <w:p w:rsidR="00E94025" w:rsidRDefault="00E94025">
      <w:pPr>
        <w:widowControl w:val="0"/>
        <w:spacing w:line="360" w:lineRule="auto"/>
        <w:jc w:val="both"/>
        <w:rPr>
          <w:rFonts w:ascii="Times New Roman" w:eastAsia="Times New Roman" w:hAnsi="Times New Roman" w:cs="Times New Roman"/>
          <w:b/>
          <w:sz w:val="24"/>
          <w:szCs w:val="24"/>
        </w:rPr>
      </w:pPr>
    </w:p>
    <w:p w:rsidR="00E94025" w:rsidRDefault="00571EC0" w:rsidP="00600B13">
      <w:pPr>
        <w:widowControl w:val="0"/>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Expression comparison in liver</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Utilizing independent liver tissue samples, we compared differential expression in</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liv</w:t>
      </w:r>
      <w:r>
        <w:rPr>
          <w:rFonts w:ascii="Times New Roman" w:eastAsia="Times New Roman" w:hAnsi="Times New Roman" w:cs="Times New Roman"/>
          <w:sz w:val="24"/>
          <w:szCs w:val="24"/>
        </w:rPr>
        <w:t>er tissue gene expression among ohnologs of grayling and Atlantic salmon with their ohnolog-tetrad tissue expression evolution categories.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liver samples from four grayling individuals were sampled in the river Gudbrandsdalslågen. The samples were from </w:t>
      </w:r>
      <w:r>
        <w:rPr>
          <w:rFonts w:ascii="Times New Roman" w:eastAsia="Times New Roman" w:hAnsi="Times New Roman" w:cs="Times New Roman"/>
          <w:sz w:val="24"/>
          <w:szCs w:val="24"/>
        </w:rPr>
        <w:t xml:space="preserve">two males (370, 375 mm) </w:t>
      </w:r>
      <w:r>
        <w:rPr>
          <w:rFonts w:ascii="Times New Roman" w:eastAsia="Times New Roman" w:hAnsi="Times New Roman" w:cs="Times New Roman"/>
          <w:sz w:val="24"/>
          <w:szCs w:val="24"/>
        </w:rPr>
        <w:lastRenderedPageBreak/>
        <w:t>and two females (330, 360 mm). The fish was euthanized and dissected immediately after capture and the liver was stored in RNAlater. Total RNA was extracted and 100 bp single-end read libraries were generated for two individuals and</w:t>
      </w:r>
      <w:r>
        <w:rPr>
          <w:rFonts w:ascii="Times New Roman" w:eastAsia="Times New Roman" w:hAnsi="Times New Roman" w:cs="Times New Roman"/>
          <w:sz w:val="24"/>
          <w:szCs w:val="24"/>
        </w:rPr>
        <w:t xml:space="preserve"> sequenced using using the Illumina HiSeq4000 platform. For the other two individuals, 150 bp paired-end read libraries were generated and sequenced using the Illumina HiSeq2500 platform.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RNA-seq data for an additional four Atlantic salmon liver tissue sam</w:t>
      </w:r>
      <w:r>
        <w:rPr>
          <w:rFonts w:ascii="Times New Roman" w:eastAsia="Times New Roman" w:hAnsi="Times New Roman" w:cs="Times New Roman"/>
          <w:sz w:val="24"/>
          <w:szCs w:val="24"/>
        </w:rPr>
        <w:t xml:space="preserve">ples was obtained from a feeding experiment </w:t>
      </w:r>
      <w:hyperlink r:id="rId90">
        <w:r>
          <w:rPr>
            <w:rFonts w:ascii="Times New Roman" w:eastAsia="Times New Roman" w:hAnsi="Times New Roman" w:cs="Times New Roman"/>
            <w:color w:val="1155CC"/>
            <w:sz w:val="24"/>
            <w:szCs w:val="24"/>
            <w:u w:val="single"/>
          </w:rPr>
          <w:t>(Gillard et al. 2018)</w:t>
        </w:r>
      </w:hyperlink>
      <w:r>
        <w:rPr>
          <w:rFonts w:ascii="Times New Roman" w:eastAsia="Times New Roman" w:hAnsi="Times New Roman" w:cs="Times New Roman"/>
          <w:sz w:val="24"/>
          <w:szCs w:val="24"/>
        </w:rPr>
        <w:t>. Pre-smolt salmon were raised on fish oil</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based diets under freshwater conditions. </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RNA-Seq read data was quality processed using</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CutAdapt</w:t>
      </w:r>
      <w:r>
        <w:rPr>
          <w:rFonts w:ascii="Times New Roman" w:eastAsia="Times New Roman" w:hAnsi="Times New Roman" w:cs="Times New Roman"/>
          <w:color w:val="FF0000"/>
          <w:sz w:val="24"/>
          <w:szCs w:val="24"/>
        </w:rPr>
        <w:t xml:space="preserve"> </w:t>
      </w:r>
      <w:hyperlink r:id="rId91">
        <w:r>
          <w:rPr>
            <w:rFonts w:ascii="Times New Roman" w:eastAsia="Times New Roman" w:hAnsi="Times New Roman" w:cs="Times New Roman"/>
            <w:color w:val="1155CC"/>
            <w:sz w:val="24"/>
            <w:szCs w:val="24"/>
            <w:u w:val="single"/>
          </w:rPr>
          <w:t>(Martin 2011)</w:t>
        </w:r>
      </w:hyperlink>
      <w:r>
        <w:rPr>
          <w:rFonts w:ascii="Times New Roman" w:eastAsia="Times New Roman" w:hAnsi="Times New Roman" w:cs="Times New Roman"/>
          <w:sz w:val="24"/>
          <w:szCs w:val="24"/>
        </w:rPr>
        <w:t xml:space="preserve"> before alignment to grayling or Atlantic salmon (ICSASG_v2, </w:t>
      </w:r>
      <w:hyperlink r:id="rId92">
        <w:r>
          <w:rPr>
            <w:rFonts w:ascii="Times New Roman" w:eastAsia="Times New Roman" w:hAnsi="Times New Roman" w:cs="Times New Roman"/>
            <w:color w:val="1155CC"/>
            <w:sz w:val="24"/>
            <w:szCs w:val="24"/>
            <w:u w:val="single"/>
          </w:rPr>
          <w:t>(Lien et al. 2016)</w:t>
        </w:r>
      </w:hyperlink>
      <w:r>
        <w:rPr>
          <w:rFonts w:ascii="Times New Roman" w:eastAsia="Times New Roman" w:hAnsi="Times New Roman" w:cs="Times New Roman"/>
          <w:sz w:val="24"/>
          <w:szCs w:val="24"/>
        </w:rPr>
        <w:t xml:space="preserve">) genomes respectively using STAR </w:t>
      </w:r>
      <w:hyperlink r:id="rId93">
        <w:r>
          <w:rPr>
            <w:rFonts w:ascii="Times New Roman" w:eastAsia="Times New Roman" w:hAnsi="Times New Roman" w:cs="Times New Roman"/>
            <w:color w:val="1155CC"/>
            <w:sz w:val="24"/>
            <w:szCs w:val="24"/>
            <w:u w:val="single"/>
          </w:rPr>
          <w:t>(Dobin et al. 2013)</w:t>
        </w:r>
      </w:hyperlink>
      <w:r>
        <w:rPr>
          <w:rFonts w:ascii="Times New Roman" w:eastAsia="Times New Roman" w:hAnsi="Times New Roman" w:cs="Times New Roman"/>
          <w:sz w:val="24"/>
          <w:szCs w:val="24"/>
        </w:rPr>
        <w:t xml:space="preserve">. RSEM </w:t>
      </w:r>
      <w:hyperlink r:id="rId94">
        <w:r>
          <w:rPr>
            <w:rFonts w:ascii="Times New Roman" w:eastAsia="Times New Roman" w:hAnsi="Times New Roman" w:cs="Times New Roman"/>
            <w:color w:val="1155CC"/>
            <w:sz w:val="24"/>
            <w:szCs w:val="24"/>
            <w:u w:val="single"/>
          </w:rPr>
          <w:t>(Li and Dewey 2011)</w:t>
        </w:r>
      </w:hyperlink>
      <w:r>
        <w:rPr>
          <w:rFonts w:ascii="Times New Roman" w:eastAsia="Times New Roman" w:hAnsi="Times New Roman" w:cs="Times New Roman"/>
          <w:sz w:val="24"/>
          <w:szCs w:val="24"/>
        </w:rPr>
        <w:t xml:space="preserve"> expected counts were generated for gene features. EdgeR </w:t>
      </w:r>
      <w:hyperlink r:id="rId95">
        <w:r>
          <w:rPr>
            <w:rFonts w:ascii="Times New Roman" w:eastAsia="Times New Roman" w:hAnsi="Times New Roman" w:cs="Times New Roman"/>
            <w:color w:val="1155CC"/>
            <w:sz w:val="24"/>
            <w:szCs w:val="24"/>
            <w:u w:val="single"/>
          </w:rPr>
          <w:t>(Robinson et al. 2010)</w:t>
        </w:r>
      </w:hyperlink>
      <w:r>
        <w:rPr>
          <w:rFonts w:ascii="Times New Roman" w:eastAsia="Times New Roman" w:hAnsi="Times New Roman" w:cs="Times New Roman"/>
          <w:sz w:val="24"/>
          <w:szCs w:val="24"/>
        </w:rPr>
        <w:t xml:space="preserve"> was used to generate normalized library sizes of samples (TMM normalization), followed by a differential expression analysis using the exact test method between the gene expression of both the grayling and Atlantic salmon</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ohnologs </w:t>
      </w:r>
      <w:r>
        <w:rPr>
          <w:rFonts w:ascii="Times New Roman" w:eastAsia="Times New Roman" w:hAnsi="Times New Roman" w:cs="Times New Roman"/>
          <w:sz w:val="24"/>
          <w:szCs w:val="24"/>
        </w:rPr>
        <w:t>in each ohnolog-tetrad. The fold change (log2 scaled) and significance of differential expression (false discovery rate corrected p-values) were produced for grayling and Atlantic salmon duplicates, as well as relative counts in the form of CPM.</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p w:rsidR="00E94025" w:rsidRDefault="00571EC0" w:rsidP="00600B13">
      <w:pPr>
        <w:widowControl w:val="0"/>
        <w:pBdr>
          <w:top w:val="nil"/>
          <w:left w:val="nil"/>
          <w:bottom w:val="nil"/>
          <w:right w:val="nil"/>
          <w:between w:val="nil"/>
        </w:pBdr>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Sequence </w:t>
      </w:r>
      <w:r>
        <w:rPr>
          <w:rFonts w:ascii="Times New Roman" w:eastAsia="Times New Roman" w:hAnsi="Times New Roman" w:cs="Times New Roman"/>
          <w:b/>
          <w:sz w:val="24"/>
          <w:szCs w:val="24"/>
        </w:rPr>
        <w:t>evolution</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estimate coding sequence evolution rates, we converted amino acid alignments to codon alignments using pal2nal </w:t>
      </w:r>
      <w:hyperlink r:id="rId96">
        <w:r>
          <w:rPr>
            <w:rFonts w:ascii="Times New Roman" w:eastAsia="Times New Roman" w:hAnsi="Times New Roman" w:cs="Times New Roman"/>
            <w:color w:val="1155CC"/>
            <w:sz w:val="24"/>
            <w:szCs w:val="24"/>
            <w:u w:val="single"/>
          </w:rPr>
          <w:t>(Suyama et al. 2006)</w:t>
        </w:r>
      </w:hyperlink>
      <w:r>
        <w:rPr>
          <w:rFonts w:ascii="Times New Roman" w:eastAsia="Times New Roman" w:hAnsi="Times New Roman" w:cs="Times New Roman"/>
          <w:sz w:val="24"/>
          <w:szCs w:val="24"/>
        </w:rPr>
        <w:t xml:space="preserve">. The </w:t>
      </w:r>
      <w:r>
        <w:rPr>
          <w:rFonts w:ascii="Times New Roman" w:eastAsia="Times New Roman" w:hAnsi="Times New Roman" w:cs="Times New Roman"/>
          <w:i/>
          <w:sz w:val="24"/>
          <w:szCs w:val="24"/>
        </w:rPr>
        <w:t>seqinr</w:t>
      </w:r>
      <w:r>
        <w:rPr>
          <w:rFonts w:ascii="Times New Roman" w:eastAsia="Times New Roman" w:hAnsi="Times New Roman" w:cs="Times New Roman"/>
          <w:sz w:val="24"/>
          <w:szCs w:val="24"/>
        </w:rPr>
        <w:t xml:space="preserve"> R package (http://seqinr.r-forge.r-project.o</w:t>
      </w:r>
      <w:r>
        <w:rPr>
          <w:rFonts w:ascii="Times New Roman" w:eastAsia="Times New Roman" w:hAnsi="Times New Roman" w:cs="Times New Roman"/>
          <w:sz w:val="24"/>
          <w:szCs w:val="24"/>
        </w:rPr>
        <w:t xml:space="preserve">rg/) was used to calculate pairwise dN and dS values for all sequences in each alignment using the </w:t>
      </w:r>
      <w:r>
        <w:rPr>
          <w:rFonts w:ascii="Times New Roman" w:eastAsia="Times New Roman" w:hAnsi="Times New Roman" w:cs="Times New Roman"/>
          <w:i/>
          <w:sz w:val="24"/>
          <w:szCs w:val="24"/>
        </w:rPr>
        <w:t>“kaks”</w:t>
      </w:r>
      <w:r>
        <w:rPr>
          <w:rFonts w:ascii="Times New Roman" w:eastAsia="Times New Roman" w:hAnsi="Times New Roman" w:cs="Times New Roman"/>
          <w:sz w:val="24"/>
          <w:szCs w:val="24"/>
        </w:rPr>
        <w:t xml:space="preserve"> function. For in-depth analyses of branch specific sequence evolution of the CFTR genes, we used the codeml in PAML (version 4.7a) </w:t>
      </w:r>
      <w:hyperlink r:id="rId97">
        <w:r>
          <w:rPr>
            <w:rFonts w:ascii="Times New Roman" w:eastAsia="Times New Roman" w:hAnsi="Times New Roman" w:cs="Times New Roman"/>
            <w:color w:val="1155CC"/>
            <w:sz w:val="24"/>
            <w:szCs w:val="24"/>
            <w:u w:val="single"/>
          </w:rPr>
          <w:t>(Yang 1997)</w:t>
        </w:r>
      </w:hyperlink>
      <w:r>
        <w:rPr>
          <w:rFonts w:ascii="Times New Roman" w:eastAsia="Times New Roman" w:hAnsi="Times New Roman" w:cs="Times New Roman"/>
          <w:sz w:val="24"/>
          <w:szCs w:val="24"/>
        </w:rPr>
        <w:t xml:space="preserve">. To assess if sequences in the CFTR gene tree evolved under similar selection pressure we contrasted a fixed dN/dS ratio (1-ratio) model and a free-ratio model of codon evolution. A likelihood ratio test was conducted to assess whether a free ratio model </w:t>
      </w:r>
      <w:r>
        <w:rPr>
          <w:rFonts w:ascii="Times New Roman" w:eastAsia="Times New Roman" w:hAnsi="Times New Roman" w:cs="Times New Roman"/>
          <w:sz w:val="24"/>
          <w:szCs w:val="24"/>
        </w:rPr>
        <w:t xml:space="preserve">was a significantly better fit to the data. Branch specific dN/dS values were extracted from the ML results for the free ratios model.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Pacific salmon genes in the CFTR tree (Figure 5) correspond to a gene from </w:t>
      </w:r>
      <w:r>
        <w:rPr>
          <w:rFonts w:ascii="Times New Roman" w:eastAsia="Times New Roman" w:hAnsi="Times New Roman" w:cs="Times New Roman"/>
          <w:sz w:val="24"/>
          <w:szCs w:val="24"/>
          <w:highlight w:val="yellow"/>
        </w:rPr>
        <w:t>r</w:t>
      </w:r>
      <w:r>
        <w:rPr>
          <w:rFonts w:ascii="Times New Roman" w:eastAsia="Times New Roman" w:hAnsi="Times New Roman" w:cs="Times New Roman"/>
          <w:sz w:val="24"/>
          <w:szCs w:val="24"/>
        </w:rPr>
        <w:t>ainbow trout and another from Coho s</w:t>
      </w:r>
      <w:r>
        <w:rPr>
          <w:rFonts w:ascii="Times New Roman" w:eastAsia="Times New Roman" w:hAnsi="Times New Roman" w:cs="Times New Roman"/>
          <w:sz w:val="24"/>
          <w:szCs w:val="24"/>
        </w:rPr>
        <w:t xml:space="preserve">almon. A blat search of CFTR gene against the </w:t>
      </w:r>
      <w:r>
        <w:rPr>
          <w:rFonts w:ascii="Times New Roman" w:eastAsia="Times New Roman" w:hAnsi="Times New Roman" w:cs="Times New Roman"/>
          <w:sz w:val="24"/>
          <w:szCs w:val="24"/>
          <w:highlight w:val="yellow"/>
        </w:rPr>
        <w:t>r</w:t>
      </w:r>
      <w:r>
        <w:rPr>
          <w:rFonts w:ascii="Times New Roman" w:eastAsia="Times New Roman" w:hAnsi="Times New Roman" w:cs="Times New Roman"/>
          <w:sz w:val="24"/>
          <w:szCs w:val="24"/>
        </w:rPr>
        <w:t>ainbow trout assembly (</w:t>
      </w:r>
      <w:hyperlink r:id="rId98">
        <w:r>
          <w:rPr>
            <w:rFonts w:ascii="Times New Roman" w:eastAsia="Times New Roman" w:hAnsi="Times New Roman" w:cs="Times New Roman"/>
            <w:sz w:val="24"/>
            <w:szCs w:val="24"/>
            <w:u w:val="single"/>
          </w:rPr>
          <w:t>https://www.genoscope.cns.fr/trout/</w:t>
        </w:r>
      </w:hyperlink>
      <w:r>
        <w:rPr>
          <w:rFonts w:ascii="Times New Roman" w:eastAsia="Times New Roman" w:hAnsi="Times New Roman" w:cs="Times New Roman"/>
          <w:sz w:val="24"/>
          <w:szCs w:val="24"/>
        </w:rPr>
        <w:t>) resulted in hits on three different scaffolds, with one complete hit and two other partial hit</w:t>
      </w:r>
      <w:r>
        <w:rPr>
          <w:rFonts w:ascii="Times New Roman" w:eastAsia="Times New Roman" w:hAnsi="Times New Roman" w:cs="Times New Roman"/>
          <w:sz w:val="24"/>
          <w:szCs w:val="24"/>
        </w:rPr>
        <w:t xml:space="preserve">s on unplaced scaffolds. Additionally, Coho </w:t>
      </w:r>
      <w:r>
        <w:rPr>
          <w:rFonts w:ascii="Times New Roman" w:eastAsia="Times New Roman" w:hAnsi="Times New Roman" w:cs="Times New Roman"/>
          <w:sz w:val="24"/>
          <w:szCs w:val="24"/>
        </w:rPr>
        <w:lastRenderedPageBreak/>
        <w:t xml:space="preserve">salmon data is based on a set of genes inferred from transcriptome data. Therefore, the presence of a single copy in the tree for the two species is likely an assembly artifact. </w:t>
      </w:r>
    </w:p>
    <w:p w:rsidR="00E94025" w:rsidRDefault="00E94025">
      <w:pPr>
        <w:widowControl w:val="0"/>
        <w:spacing w:line="360" w:lineRule="auto"/>
      </w:pPr>
    </w:p>
    <w:p w:rsidR="00E94025" w:rsidRDefault="00571EC0" w:rsidP="00600B13">
      <w:pPr>
        <w:widowControl w:val="0"/>
        <w:spacing w:line="36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Genome-wide identification of transcription factors binding sites</w:t>
      </w:r>
    </w:p>
    <w:p w:rsidR="00E94025" w:rsidRDefault="00571EC0">
      <w:pPr>
        <w:widowControl w:val="0"/>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A total of 13544 metazoan transcription factor</w:t>
      </w:r>
      <w:r>
        <w:rPr>
          <w:rFonts w:ascii="Times New Roman" w:eastAsia="Times New Roman" w:hAnsi="Times New Roman" w:cs="Times New Roman"/>
          <w:color w:val="222222"/>
          <w:sz w:val="24"/>
          <w:szCs w:val="24"/>
          <w:highlight w:val="white"/>
        </w:rPr>
        <w:t xml:space="preserve"> protein sequences together with their binding site represented as </w:t>
      </w:r>
      <w:r>
        <w:rPr>
          <w:rFonts w:ascii="Times New Roman" w:eastAsia="Times New Roman" w:hAnsi="Times New Roman" w:cs="Times New Roman"/>
          <w:sz w:val="24"/>
          <w:szCs w:val="24"/>
        </w:rPr>
        <w:t>position specific scoring Matrices (</w:t>
      </w:r>
      <w:r>
        <w:rPr>
          <w:rFonts w:ascii="Times New Roman" w:eastAsia="Times New Roman" w:hAnsi="Times New Roman" w:cs="Times New Roman"/>
          <w:color w:val="222222"/>
          <w:sz w:val="24"/>
          <w:szCs w:val="24"/>
          <w:highlight w:val="white"/>
        </w:rPr>
        <w:t>PSSMs referred to as motifs) were collect</w:t>
      </w:r>
      <w:r>
        <w:rPr>
          <w:rFonts w:ascii="Times New Roman" w:eastAsia="Times New Roman" w:hAnsi="Times New Roman" w:cs="Times New Roman"/>
          <w:color w:val="222222"/>
          <w:sz w:val="24"/>
          <w:szCs w:val="24"/>
          <w:highlight w:val="white"/>
        </w:rPr>
        <w:t xml:space="preserve">ed from transcription factor binding profile databases such as CISBP, JASPAR, 3D-footprint, UniPROBE, HumanTF, HOCOMOCO, HumanTF2 and </w:t>
      </w:r>
      <w:r>
        <w:rPr>
          <w:rFonts w:ascii="Times New Roman" w:eastAsia="Times New Roman" w:hAnsi="Times New Roman" w:cs="Times New Roman"/>
          <w:sz w:val="24"/>
          <w:szCs w:val="24"/>
        </w:rPr>
        <w:t>TRANSFAC®</w:t>
      </w:r>
      <w:r>
        <w:rPr>
          <w:rFonts w:ascii="Times New Roman" w:eastAsia="Times New Roman" w:hAnsi="Times New Roman" w:cs="Times New Roman"/>
          <w:color w:val="222222"/>
          <w:sz w:val="24"/>
          <w:szCs w:val="24"/>
          <w:highlight w:val="white"/>
        </w:rPr>
        <w:t>.</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DNA sequences from upstream promoter regions of Atlantic salmon (-1000bp/+200bp from TSS) were extracted. </w:t>
      </w:r>
      <w:r>
        <w:rPr>
          <w:rFonts w:ascii="Times New Roman" w:eastAsia="Times New Roman" w:hAnsi="Times New Roman" w:cs="Times New Roman"/>
          <w:sz w:val="24"/>
          <w:szCs w:val="24"/>
        </w:rPr>
        <w:t>A fir</w:t>
      </w:r>
      <w:r>
        <w:rPr>
          <w:rFonts w:ascii="Times New Roman" w:eastAsia="Times New Roman" w:hAnsi="Times New Roman" w:cs="Times New Roman"/>
          <w:sz w:val="24"/>
          <w:szCs w:val="24"/>
        </w:rPr>
        <w:t xml:space="preserve">st order Markov model was created from the entire set of upstream promoter regions using the fasta-get-markov program in the MEME Suite </w:t>
      </w:r>
      <w:hyperlink r:id="rId99">
        <w:r>
          <w:rPr>
            <w:rFonts w:ascii="Times New Roman" w:eastAsia="Times New Roman" w:hAnsi="Times New Roman" w:cs="Times New Roman"/>
            <w:color w:val="1155CC"/>
            <w:sz w:val="24"/>
            <w:szCs w:val="24"/>
            <w:u w:val="single"/>
          </w:rPr>
          <w:t>(Bailey et al. 2009)</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This background model was used to convert frequency matrices into log-odds score matrices. </w:t>
      </w:r>
      <w:r>
        <w:rPr>
          <w:rFonts w:ascii="Times New Roman" w:eastAsia="Times New Roman" w:hAnsi="Times New Roman" w:cs="Times New Roman"/>
          <w:sz w:val="24"/>
          <w:szCs w:val="24"/>
        </w:rPr>
        <w:t>We performed a genome-wide transcription factors binding sites prediction in the Atlantic salmon genome using the PSSM collection and the Finding Individual Motif Oc</w:t>
      </w:r>
      <w:r>
        <w:rPr>
          <w:rFonts w:ascii="Times New Roman" w:eastAsia="Times New Roman" w:hAnsi="Times New Roman" w:cs="Times New Roman"/>
          <w:sz w:val="24"/>
          <w:szCs w:val="24"/>
        </w:rPr>
        <w:t xml:space="preserve">currences (FIMO) </w:t>
      </w:r>
      <w:hyperlink r:id="rId100">
        <w:r>
          <w:rPr>
            <w:rFonts w:ascii="Times New Roman" w:eastAsia="Times New Roman" w:hAnsi="Times New Roman" w:cs="Times New Roman"/>
            <w:color w:val="1155CC"/>
            <w:sz w:val="24"/>
            <w:szCs w:val="24"/>
            <w:u w:val="single"/>
          </w:rPr>
          <w:t>(Grant et al. 2011)</w:t>
        </w:r>
      </w:hyperlink>
      <w:r>
        <w:rPr>
          <w:rFonts w:ascii="Times New Roman" w:eastAsia="Times New Roman" w:hAnsi="Times New Roman" w:cs="Times New Roman"/>
          <w:sz w:val="24"/>
          <w:szCs w:val="24"/>
        </w:rPr>
        <w:t xml:space="preserve"> tool in the MEME Suite (p-value = 0.0001 and FDR = 0.2</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w:t>
      </w:r>
    </w:p>
    <w:p w:rsidR="00E94025" w:rsidRDefault="00571EC0">
      <w:pPr>
        <w:widowControl w:val="0"/>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Motif similarity between Atlantic salmon ohnolog promoters was scored using the </w:t>
      </w:r>
      <w:r>
        <w:rPr>
          <w:rFonts w:ascii="Times New Roman" w:eastAsia="Times New Roman" w:hAnsi="Times New Roman" w:cs="Times New Roman"/>
          <w:i/>
          <w:sz w:val="24"/>
          <w:szCs w:val="24"/>
        </w:rPr>
        <w:t>Jaccard coefficient</w:t>
      </w:r>
      <w:r>
        <w:rPr>
          <w:rFonts w:ascii="Times New Roman" w:eastAsia="Times New Roman" w:hAnsi="Times New Roman" w:cs="Times New Roman"/>
          <w:sz w:val="24"/>
          <w:szCs w:val="24"/>
        </w:rPr>
        <w:t>. The pr</w:t>
      </w:r>
      <w:r>
        <w:rPr>
          <w:rFonts w:ascii="Times New Roman" w:eastAsia="Times New Roman" w:hAnsi="Times New Roman" w:cs="Times New Roman"/>
          <w:sz w:val="24"/>
          <w:szCs w:val="24"/>
        </w:rPr>
        <w:t xml:space="preserve">omoter </w:t>
      </w:r>
      <w:r>
        <w:rPr>
          <w:rFonts w:ascii="Times New Roman" w:eastAsia="Times New Roman" w:hAnsi="Times New Roman" w:cs="Times New Roman"/>
          <w:i/>
          <w:sz w:val="24"/>
          <w:szCs w:val="24"/>
        </w:rPr>
        <w:t>Jaccard coefficient</w:t>
      </w:r>
      <w:r>
        <w:rPr>
          <w:rFonts w:ascii="Times New Roman" w:eastAsia="Times New Roman" w:hAnsi="Times New Roman" w:cs="Times New Roman"/>
          <w:sz w:val="24"/>
          <w:szCs w:val="24"/>
        </w:rPr>
        <w:t xml:space="preserve"> is defined as;</w:t>
      </w:r>
    </w:p>
    <w:p w:rsidR="00E94025" w:rsidRDefault="00571EC0">
      <w:pPr>
        <w:widowControl w:val="0"/>
        <w:spacing w:line="360" w:lineRule="auto"/>
        <w:ind w:left="1440" w:firstLine="720"/>
        <w:rPr>
          <w:rFonts w:ascii="Times New Roman" w:eastAsia="Times New Roman" w:hAnsi="Times New Roman" w:cs="Times New Roman"/>
          <w:sz w:val="24"/>
          <w:szCs w:val="24"/>
          <w:highlight w:val="white"/>
        </w:rPr>
      </w:pPr>
      <m:oMath>
        <m:r>
          <w:rPr>
            <w:rFonts w:ascii="Times New Roman" w:eastAsia="Times New Roman" w:hAnsi="Times New Roman" w:cs="Times New Roman"/>
            <w:sz w:val="24"/>
            <w:szCs w:val="24"/>
            <w:highlight w:val="white"/>
          </w:rPr>
          <m:t>J</m:t>
        </m:r>
        <m:r>
          <w:rPr>
            <w:rFonts w:ascii="Times New Roman" w:eastAsia="Times New Roman" w:hAnsi="Times New Roman" w:cs="Times New Roman"/>
            <w:sz w:val="24"/>
            <w:szCs w:val="24"/>
            <w:highlight w:val="white"/>
          </w:rPr>
          <m:t>(</m:t>
        </m:r>
        <m:r>
          <w:rPr>
            <w:rFonts w:ascii="Times New Roman" w:eastAsia="Times New Roman" w:hAnsi="Times New Roman" w:cs="Times New Roman"/>
            <w:sz w:val="24"/>
            <w:szCs w:val="24"/>
            <w:highlight w:val="white"/>
          </w:rPr>
          <m:t>A</m:t>
        </m:r>
        <m:r>
          <w:rPr>
            <w:rFonts w:ascii="Times New Roman" w:eastAsia="Times New Roman" w:hAnsi="Times New Roman" w:cs="Times New Roman"/>
            <w:sz w:val="24"/>
            <w:szCs w:val="24"/>
            <w:highlight w:val="white"/>
          </w:rPr>
          <m:t>,</m:t>
        </m:r>
        <m:r>
          <w:rPr>
            <w:rFonts w:ascii="Times New Roman" w:eastAsia="Times New Roman" w:hAnsi="Times New Roman" w:cs="Times New Roman"/>
            <w:sz w:val="24"/>
            <w:szCs w:val="24"/>
            <w:highlight w:val="white"/>
          </w:rPr>
          <m:t>B</m:t>
        </m:r>
        <m:r>
          <w:rPr>
            <w:rFonts w:ascii="Times New Roman" w:eastAsia="Times New Roman" w:hAnsi="Times New Roman" w:cs="Times New Roman"/>
            <w:sz w:val="24"/>
            <w:szCs w:val="24"/>
            <w:highlight w:val="white"/>
          </w:rPr>
          <m:t>) =</m:t>
        </m:r>
        <m:f>
          <m:fPr>
            <m:ctrlPr>
              <w:rPr>
                <w:rFonts w:ascii="Times New Roman" w:eastAsia="Times New Roman" w:hAnsi="Times New Roman" w:cs="Times New Roman"/>
                <w:sz w:val="24"/>
                <w:szCs w:val="24"/>
                <w:highlight w:val="white"/>
              </w:rPr>
            </m:ctrlPr>
          </m:fPr>
          <m:num>
            <m:r>
              <w:rPr>
                <w:rFonts w:ascii="Times New Roman" w:eastAsia="Times New Roman" w:hAnsi="Times New Roman" w:cs="Times New Roman"/>
                <w:sz w:val="24"/>
                <w:szCs w:val="24"/>
                <w:highlight w:val="white"/>
              </w:rPr>
              <m:t>A</m:t>
            </m:r>
            <m:r>
              <w:rPr>
                <w:rFonts w:ascii="Times New Roman" w:eastAsia="Times New Roman" w:hAnsi="Times New Roman" w:cs="Times New Roman"/>
                <w:sz w:val="24"/>
                <w:szCs w:val="24"/>
                <w:highlight w:val="white"/>
              </w:rPr>
              <m:t>∩</m:t>
            </m:r>
            <m:r>
              <w:rPr>
                <w:rFonts w:ascii="Times New Roman" w:eastAsia="Times New Roman" w:hAnsi="Times New Roman" w:cs="Times New Roman"/>
                <w:sz w:val="24"/>
                <w:szCs w:val="24"/>
                <w:highlight w:val="white"/>
              </w:rPr>
              <m:t>B</m:t>
            </m:r>
          </m:num>
          <m:den>
            <m:r>
              <w:rPr>
                <w:rFonts w:ascii="Times New Roman" w:eastAsia="Times New Roman" w:hAnsi="Times New Roman" w:cs="Times New Roman"/>
                <w:sz w:val="24"/>
                <w:szCs w:val="24"/>
                <w:highlight w:val="white"/>
              </w:rPr>
              <m:t>|</m:t>
            </m:r>
            <m:r>
              <w:rPr>
                <w:rFonts w:ascii="Times New Roman" w:eastAsia="Times New Roman" w:hAnsi="Times New Roman" w:cs="Times New Roman"/>
                <w:sz w:val="24"/>
                <w:szCs w:val="24"/>
                <w:highlight w:val="white"/>
              </w:rPr>
              <m:t>A</m:t>
            </m:r>
            <m:r>
              <w:rPr>
                <w:rFonts w:ascii="Times New Roman" w:eastAsia="Times New Roman" w:hAnsi="Times New Roman" w:cs="Times New Roman"/>
                <w:sz w:val="24"/>
                <w:szCs w:val="24"/>
                <w:highlight w:val="white"/>
              </w:rPr>
              <m:t>| + |</m:t>
            </m:r>
            <m:r>
              <w:rPr>
                <w:rFonts w:ascii="Times New Roman" w:eastAsia="Times New Roman" w:hAnsi="Times New Roman" w:cs="Times New Roman"/>
                <w:sz w:val="24"/>
                <w:szCs w:val="24"/>
                <w:highlight w:val="white"/>
              </w:rPr>
              <m:t>B</m:t>
            </m:r>
            <m:r>
              <w:rPr>
                <w:rFonts w:ascii="Times New Roman" w:eastAsia="Times New Roman" w:hAnsi="Times New Roman" w:cs="Times New Roman"/>
                <w:sz w:val="24"/>
                <w:szCs w:val="24"/>
                <w:highlight w:val="white"/>
              </w:rPr>
              <m:t>| - |</m:t>
            </m:r>
            <m:r>
              <w:rPr>
                <w:rFonts w:ascii="Times New Roman" w:eastAsia="Times New Roman" w:hAnsi="Times New Roman" w:cs="Times New Roman"/>
                <w:sz w:val="24"/>
                <w:szCs w:val="24"/>
                <w:highlight w:val="white"/>
              </w:rPr>
              <m:t>A</m:t>
            </m:r>
            <m:r>
              <w:rPr>
                <w:rFonts w:ascii="Times New Roman" w:eastAsia="Times New Roman" w:hAnsi="Times New Roman" w:cs="Times New Roman"/>
                <w:sz w:val="24"/>
                <w:szCs w:val="24"/>
                <w:highlight w:val="white"/>
              </w:rPr>
              <m:t>∩</m:t>
            </m:r>
            <m:r>
              <w:rPr>
                <w:rFonts w:ascii="Times New Roman" w:eastAsia="Times New Roman" w:hAnsi="Times New Roman" w:cs="Times New Roman"/>
                <w:sz w:val="24"/>
                <w:szCs w:val="24"/>
                <w:highlight w:val="white"/>
              </w:rPr>
              <m:t>B</m:t>
            </m:r>
            <m:r>
              <w:rPr>
                <w:rFonts w:ascii="Times New Roman" w:eastAsia="Times New Roman" w:hAnsi="Times New Roman" w:cs="Times New Roman"/>
                <w:sz w:val="24"/>
                <w:szCs w:val="24"/>
                <w:highlight w:val="white"/>
              </w:rPr>
              <m:t>|</m:t>
            </m:r>
          </m:den>
        </m:f>
      </m:oMath>
      <w:r>
        <w:rPr>
          <w:rFonts w:ascii="Times New Roman" w:eastAsia="Times New Roman" w:hAnsi="Times New Roman" w:cs="Times New Roman"/>
          <w:sz w:val="24"/>
          <w:szCs w:val="24"/>
          <w:highlight w:val="white"/>
        </w:rPr>
        <w:t xml:space="preserve"> , </w:t>
      </w:r>
    </w:p>
    <w:p w:rsidR="00E94025" w:rsidRDefault="00571EC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where A and B represents the type of motifs that were present in promoters of the A and B ohnolog copies. If A and B are empty, we set</w:t>
      </w:r>
      <w:r>
        <w:rPr>
          <w:rFonts w:ascii="Times New Roman" w:eastAsia="Times New Roman" w:hAnsi="Times New Roman" w:cs="Times New Roman"/>
          <w:i/>
          <w:sz w:val="24"/>
          <w:szCs w:val="24"/>
          <w:highlight w:val="white"/>
        </w:rPr>
        <w:t xml:space="preserve"> J(A,B)</w:t>
      </w:r>
      <w:r>
        <w:rPr>
          <w:rFonts w:ascii="Times New Roman" w:eastAsia="Times New Roman" w:hAnsi="Times New Roman" w:cs="Times New Roman"/>
          <w:sz w:val="24"/>
          <w:szCs w:val="24"/>
          <w:highlight w:val="white"/>
        </w:rPr>
        <w:t xml:space="preserve"> = 0 where 0 </w:t>
      </w:r>
      <w:r>
        <w:rPr>
          <w:rFonts w:ascii="Gungsuh" w:eastAsia="Gungsuh" w:hAnsi="Gungsuh" w:cs="Gungsuh"/>
          <w:sz w:val="24"/>
          <w:szCs w:val="24"/>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J(A,B)</w:t>
      </w:r>
      <w:r>
        <w:rPr>
          <w:rFonts w:ascii="Times New Roman" w:eastAsia="Times New Roman" w:hAnsi="Times New Roman" w:cs="Times New Roman"/>
          <w:sz w:val="24"/>
          <w:szCs w:val="24"/>
          <w:highlight w:val="white"/>
        </w:rPr>
        <w:t xml:space="preserve"> </w:t>
      </w:r>
      <w:r>
        <w:rPr>
          <w:rFonts w:ascii="Gungsuh" w:eastAsia="Gungsuh" w:hAnsi="Gungsuh" w:cs="Gungsuh"/>
          <w:sz w:val="24"/>
          <w:szCs w:val="24"/>
        </w:rPr>
        <w:t>≤ 1.</w:t>
      </w:r>
      <w:r>
        <w:rPr>
          <w:rFonts w:ascii="Times New Roman" w:eastAsia="Times New Roman" w:hAnsi="Times New Roman" w:cs="Times New Roman"/>
          <w:sz w:val="24"/>
          <w:szCs w:val="24"/>
          <w:highlight w:val="white"/>
        </w:rPr>
        <w:t xml:space="preserve"> </w:t>
      </w:r>
    </w:p>
    <w:p w:rsidR="00E94025" w:rsidRDefault="00E94025">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highlight w:val="white"/>
        </w:rPr>
      </w:pPr>
    </w:p>
    <w:p w:rsidR="00E94025" w:rsidRDefault="00571EC0" w:rsidP="00600B13">
      <w:pPr>
        <w:widowControl w:val="0"/>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 Ontology (GO) analysis</w:t>
      </w:r>
    </w:p>
    <w:p w:rsidR="00E94025" w:rsidRDefault="00571EC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gene ontology term (GO) enrichment analysis was performed using the </w:t>
      </w:r>
      <w:r>
        <w:rPr>
          <w:rFonts w:ascii="Times New Roman" w:eastAsia="Times New Roman" w:hAnsi="Times New Roman" w:cs="Times New Roman"/>
          <w:i/>
          <w:sz w:val="24"/>
          <w:szCs w:val="24"/>
        </w:rPr>
        <w:t>elim</w:t>
      </w:r>
      <w:r>
        <w:rPr>
          <w:rFonts w:ascii="Times New Roman" w:eastAsia="Times New Roman" w:hAnsi="Times New Roman" w:cs="Times New Roman"/>
          <w:sz w:val="24"/>
          <w:szCs w:val="24"/>
        </w:rPr>
        <w:t xml:space="preserve"> algorithm implemented in the </w:t>
      </w:r>
      <w:r>
        <w:rPr>
          <w:rFonts w:ascii="Times New Roman" w:eastAsia="Times New Roman" w:hAnsi="Times New Roman" w:cs="Times New Roman"/>
          <w:i/>
          <w:sz w:val="24"/>
          <w:szCs w:val="24"/>
        </w:rPr>
        <w:t>topGO</w:t>
      </w:r>
      <w:r>
        <w:rPr>
          <w:rFonts w:ascii="Times New Roman" w:eastAsia="Times New Roman" w:hAnsi="Times New Roman" w:cs="Times New Roman"/>
          <w:sz w:val="24"/>
          <w:szCs w:val="24"/>
        </w:rPr>
        <w:t xml:space="preserve"> R package (http://www.bioconductor.org/packages/2.12/bioc/html/topGO.html), with a significance threshold of 0.05 us</w:t>
      </w:r>
      <w:r>
        <w:rPr>
          <w:rFonts w:ascii="Times New Roman" w:eastAsia="Times New Roman" w:hAnsi="Times New Roman" w:cs="Times New Roman"/>
          <w:sz w:val="24"/>
          <w:szCs w:val="24"/>
        </w:rPr>
        <w:t xml:space="preserve">ing </w:t>
      </w:r>
      <w:r>
        <w:rPr>
          <w:rFonts w:ascii="Times New Roman" w:eastAsia="Times New Roman" w:hAnsi="Times New Roman" w:cs="Times New Roman"/>
          <w:sz w:val="24"/>
          <w:szCs w:val="24"/>
          <w:highlight w:val="yellow"/>
        </w:rPr>
        <w:t xml:space="preserve">the genes from all ohnolog-tetrad categories </w:t>
      </w:r>
      <w:r>
        <w:rPr>
          <w:rFonts w:ascii="Times New Roman" w:eastAsia="Times New Roman" w:hAnsi="Times New Roman" w:cs="Times New Roman"/>
          <w:sz w:val="24"/>
          <w:szCs w:val="24"/>
        </w:rPr>
        <w:t xml:space="preserve">as the background. GO terms were assigned to salmon genes using Blast2GO </w:t>
      </w:r>
      <w:hyperlink r:id="rId101">
        <w:r>
          <w:rPr>
            <w:rFonts w:ascii="Times New Roman" w:eastAsia="Times New Roman" w:hAnsi="Times New Roman" w:cs="Times New Roman"/>
            <w:color w:val="1155CC"/>
            <w:sz w:val="24"/>
            <w:szCs w:val="24"/>
            <w:u w:val="single"/>
          </w:rPr>
          <w:t>(Conesa et al. 2005)</w:t>
        </w:r>
      </w:hyperlink>
      <w:r>
        <w:rPr>
          <w:rFonts w:ascii="Times New Roman" w:eastAsia="Times New Roman" w:hAnsi="Times New Roman" w:cs="Times New Roman"/>
          <w:sz w:val="24"/>
          <w:szCs w:val="24"/>
        </w:rPr>
        <w:t>.</w:t>
      </w:r>
    </w:p>
    <w:p w:rsidR="00E94025" w:rsidRDefault="00E94025">
      <w:pPr>
        <w:widowControl w:val="0"/>
        <w:pBdr>
          <w:top w:val="nil"/>
          <w:left w:val="nil"/>
          <w:bottom w:val="nil"/>
          <w:right w:val="nil"/>
          <w:between w:val="nil"/>
        </w:pBdr>
        <w:rPr>
          <w:rFonts w:ascii="Times New Roman" w:eastAsia="Times New Roman" w:hAnsi="Times New Roman" w:cs="Times New Roman"/>
          <w:b/>
          <w:sz w:val="28"/>
          <w:szCs w:val="28"/>
        </w:rPr>
      </w:pPr>
    </w:p>
    <w:p w:rsidR="00E94025" w:rsidRDefault="00E94025">
      <w:pPr>
        <w:widowControl w:val="0"/>
        <w:rPr>
          <w:rFonts w:ascii="Times New Roman" w:eastAsia="Times New Roman" w:hAnsi="Times New Roman" w:cs="Times New Roman"/>
          <w:b/>
          <w:sz w:val="28"/>
          <w:szCs w:val="28"/>
        </w:rPr>
      </w:pPr>
    </w:p>
    <w:p w:rsidR="00E94025" w:rsidRDefault="00E94025">
      <w:pPr>
        <w:widowControl w:val="0"/>
        <w:rPr>
          <w:rFonts w:ascii="Times New Roman" w:eastAsia="Times New Roman" w:hAnsi="Times New Roman" w:cs="Times New Roman"/>
          <w:b/>
          <w:sz w:val="24"/>
          <w:szCs w:val="24"/>
        </w:rPr>
      </w:pPr>
    </w:p>
    <w:p w:rsidR="00E94025" w:rsidRDefault="00E94025">
      <w:pPr>
        <w:widowControl w:val="0"/>
        <w:rPr>
          <w:rFonts w:ascii="Times New Roman" w:eastAsia="Times New Roman" w:hAnsi="Times New Roman" w:cs="Times New Roman"/>
          <w:b/>
          <w:sz w:val="24"/>
          <w:szCs w:val="24"/>
        </w:rPr>
      </w:pPr>
    </w:p>
    <w:p w:rsidR="00E94025" w:rsidRDefault="00571EC0" w:rsidP="00600B13">
      <w:pPr>
        <w:widowControl w:val="0"/>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Availability of data and materials</w:t>
      </w:r>
    </w:p>
    <w:p w:rsidR="00E94025" w:rsidRDefault="00571EC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The Illumina reads have been deposited at ENA under the project accession: PRJEB21333. </w:t>
      </w:r>
      <w:r>
        <w:rPr>
          <w:rFonts w:ascii="Times New Roman" w:eastAsia="Times New Roman" w:hAnsi="Times New Roman" w:cs="Times New Roman"/>
          <w:sz w:val="24"/>
          <w:szCs w:val="24"/>
        </w:rPr>
        <w:lastRenderedPageBreak/>
        <w:t xml:space="preserve">The genome assembly and annotation data are available at </w:t>
      </w:r>
      <w:hyperlink r:id="rId102">
        <w:r>
          <w:rPr>
            <w:rFonts w:ascii="Times New Roman" w:eastAsia="Times New Roman" w:hAnsi="Times New Roman" w:cs="Times New Roman"/>
            <w:color w:val="1155CC"/>
            <w:sz w:val="24"/>
            <w:szCs w:val="24"/>
            <w:u w:val="single"/>
          </w:rPr>
          <w:t>https://doi.org/10.6084/m9.figshare.c.3808162</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Atlantic salmon liver expression data is available at ENA or NCBI under sample accessions:SAMEA104483623, SAMEA104483624, SAMEA104483627, and SAMEA104483628.</w:t>
      </w:r>
    </w:p>
    <w:p w:rsidR="00E94025" w:rsidRDefault="00E94025">
      <w:pPr>
        <w:widowControl w:val="0"/>
        <w:jc w:val="both"/>
        <w:rPr>
          <w:rFonts w:ascii="Times New Roman" w:eastAsia="Times New Roman" w:hAnsi="Times New Roman" w:cs="Times New Roman"/>
          <w:sz w:val="24"/>
          <w:szCs w:val="24"/>
        </w:rPr>
      </w:pPr>
    </w:p>
    <w:p w:rsidR="00E94025" w:rsidRDefault="00571EC0" w:rsidP="00600B13">
      <w:pPr>
        <w:widowControl w:val="0"/>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Competing interests</w:t>
      </w:r>
    </w:p>
    <w:p w:rsidR="00E94025" w:rsidRDefault="00571EC0" w:rsidP="00600B13">
      <w:pPr>
        <w:widowControl w:val="0"/>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that they have no competing interests.</w:t>
      </w:r>
    </w:p>
    <w:p w:rsidR="00E94025" w:rsidRDefault="00E94025">
      <w:pPr>
        <w:widowControl w:val="0"/>
        <w:pBdr>
          <w:top w:val="nil"/>
          <w:left w:val="nil"/>
          <w:bottom w:val="nil"/>
          <w:right w:val="nil"/>
          <w:between w:val="nil"/>
        </w:pBdr>
        <w:rPr>
          <w:rFonts w:ascii="Times New Roman" w:eastAsia="Times New Roman" w:hAnsi="Times New Roman" w:cs="Times New Roman"/>
          <w:b/>
          <w:sz w:val="24"/>
          <w:szCs w:val="24"/>
        </w:rPr>
      </w:pPr>
    </w:p>
    <w:p w:rsidR="00E94025" w:rsidRDefault="00571EC0" w:rsidP="00600B13">
      <w:pPr>
        <w:widowControl w:val="0"/>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 contributions</w:t>
      </w:r>
    </w:p>
    <w:p w:rsidR="00E94025" w:rsidRDefault="00571EC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KSJ, LAV, SJ and SL conceived and planned the project and generation of the data. SRS and SV performed all the analyses with help from AJN and OKT. Differential expression analysis on the liver dataset was performed by GBG and TRH, and</w:t>
      </w:r>
      <w:r>
        <w:rPr>
          <w:rFonts w:ascii="Times New Roman" w:eastAsia="Times New Roman" w:hAnsi="Times New Roman" w:cs="Times New Roman"/>
          <w:sz w:val="24"/>
          <w:szCs w:val="24"/>
        </w:rPr>
        <w:t xml:space="preserve"> the promoter motif analysis was prepared by TDM. SRS, SV and AJN drafted the manuscript. All authors read and commented on the manuscript.</w:t>
      </w:r>
    </w:p>
    <w:p w:rsidR="00E94025" w:rsidRDefault="00E94025">
      <w:pPr>
        <w:widowControl w:val="0"/>
        <w:pBdr>
          <w:top w:val="nil"/>
          <w:left w:val="nil"/>
          <w:bottom w:val="nil"/>
          <w:right w:val="nil"/>
          <w:between w:val="nil"/>
        </w:pBdr>
        <w:rPr>
          <w:rFonts w:ascii="Times New Roman" w:eastAsia="Times New Roman" w:hAnsi="Times New Roman" w:cs="Times New Roman"/>
          <w:b/>
          <w:sz w:val="24"/>
          <w:szCs w:val="24"/>
        </w:rPr>
      </w:pPr>
    </w:p>
    <w:p w:rsidR="00E94025" w:rsidRDefault="00571EC0" w:rsidP="00600B13">
      <w:pPr>
        <w:widowControl w:val="0"/>
        <w:spacing w:line="36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rsidR="00E94025" w:rsidRDefault="00571EC0">
      <w:pPr>
        <w:widowControl w:val="0"/>
        <w:spacing w:line="360" w:lineRule="auto"/>
        <w:jc w:val="both"/>
        <w:rPr>
          <w:rFonts w:ascii="Times New Roman" w:eastAsia="Times New Roman" w:hAnsi="Times New Roman" w:cs="Times New Roman"/>
          <w:b/>
          <w:color w:val="333333"/>
          <w:sz w:val="28"/>
          <w:szCs w:val="28"/>
          <w:highlight w:val="white"/>
        </w:rPr>
      </w:pPr>
      <w:r>
        <w:rPr>
          <w:rFonts w:ascii="Times New Roman" w:eastAsia="Times New Roman" w:hAnsi="Times New Roman" w:cs="Times New Roman"/>
          <w:sz w:val="24"/>
          <w:szCs w:val="24"/>
        </w:rPr>
        <w:t>This work was supported by funding from University of Oslo to the SAK project “Building a marine g</w:t>
      </w:r>
      <w:r>
        <w:rPr>
          <w:rFonts w:ascii="Times New Roman" w:eastAsia="Times New Roman" w:hAnsi="Times New Roman" w:cs="Times New Roman"/>
          <w:sz w:val="24"/>
          <w:szCs w:val="24"/>
        </w:rPr>
        <w:t xml:space="preserve">enome hub” and the Strategic Research Initiative, Center for Computational Inference in Evolutionary Life Science (CELS) to KSJ. SRS was funded partly by the Norwegian Research Council project </w:t>
      </w:r>
      <w:hyperlink r:id="rId103" w:anchor="/project/NFR/244164">
        <w:r>
          <w:rPr>
            <w:rFonts w:ascii="Times New Roman" w:eastAsia="Times New Roman" w:hAnsi="Times New Roman" w:cs="Times New Roman"/>
            <w:color w:val="1155CC"/>
            <w:sz w:val="24"/>
            <w:szCs w:val="24"/>
            <w:u w:val="single"/>
          </w:rPr>
          <w:t>NFR 244164</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We thank Kim M. Bærum for sampling of grayling and Marianne H. S. Hansen for excellent technical assistance. Sample preparation, library construction and sequencing were carried out at the Norwegian Sequencing Centre</w:t>
      </w:r>
      <w:r>
        <w:rPr>
          <w:rFonts w:ascii="Times New Roman" w:eastAsia="Times New Roman" w:hAnsi="Times New Roman" w:cs="Times New Roman"/>
          <w:sz w:val="24"/>
          <w:szCs w:val="24"/>
          <w:highlight w:val="white"/>
        </w:rPr>
        <w:t xml:space="preserve"> (NSC), Norway and McGill University and Génome Québec Innovation Centre, Canada. The computational work was performed on the Abel Supercomputing Cluster (Norwegian Metacenter for High-Performance Computing (NOTUR) and the University of Oslo), operated by </w:t>
      </w:r>
      <w:r>
        <w:rPr>
          <w:rFonts w:ascii="Times New Roman" w:eastAsia="Times New Roman" w:hAnsi="Times New Roman" w:cs="Times New Roman"/>
          <w:sz w:val="24"/>
          <w:szCs w:val="24"/>
          <w:highlight w:val="white"/>
        </w:rPr>
        <w:t>the Research Computing Services group at USIT, the University of Oslo IT-department. We thank Geir O. Storvik for helpful discussions. We greatly appreciate Daniel J. Macqueen, Marine S. Brieuc and Monica H. Solbakken for critical reading of the manuscript</w:t>
      </w:r>
      <w:r>
        <w:rPr>
          <w:rFonts w:ascii="Times New Roman" w:eastAsia="Times New Roman" w:hAnsi="Times New Roman" w:cs="Times New Roman"/>
          <w:sz w:val="24"/>
          <w:szCs w:val="24"/>
          <w:highlight w:val="white"/>
        </w:rPr>
        <w:t xml:space="preserve">. </w:t>
      </w:r>
    </w:p>
    <w:p w:rsidR="00E94025" w:rsidRDefault="00E94025">
      <w:pPr>
        <w:widowControl w:val="0"/>
        <w:pBdr>
          <w:top w:val="nil"/>
          <w:left w:val="nil"/>
          <w:bottom w:val="nil"/>
          <w:right w:val="nil"/>
          <w:between w:val="nil"/>
        </w:pBdr>
        <w:rPr>
          <w:rFonts w:ascii="Times New Roman" w:eastAsia="Times New Roman" w:hAnsi="Times New Roman" w:cs="Times New Roman"/>
          <w:b/>
          <w:sz w:val="24"/>
          <w:szCs w:val="24"/>
        </w:rPr>
      </w:pPr>
    </w:p>
    <w:p w:rsidR="00E94025" w:rsidRDefault="00E94025">
      <w:pPr>
        <w:widowControl w:val="0"/>
        <w:pBdr>
          <w:top w:val="nil"/>
          <w:left w:val="nil"/>
          <w:bottom w:val="nil"/>
          <w:right w:val="nil"/>
          <w:between w:val="nil"/>
        </w:pBdr>
        <w:rPr>
          <w:rFonts w:ascii="Times New Roman" w:eastAsia="Times New Roman" w:hAnsi="Times New Roman" w:cs="Times New Roman"/>
          <w:b/>
          <w:sz w:val="24"/>
          <w:szCs w:val="24"/>
        </w:rPr>
      </w:pPr>
    </w:p>
    <w:sectPr w:rsidR="00E94025">
      <w:headerReference w:type="default" r:id="rId104"/>
      <w:footerReference w:type="default" r:id="rId105"/>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EC0" w:rsidRDefault="00571EC0">
      <w:pPr>
        <w:spacing w:line="240" w:lineRule="auto"/>
      </w:pPr>
      <w:r>
        <w:separator/>
      </w:r>
    </w:p>
  </w:endnote>
  <w:endnote w:type="continuationSeparator" w:id="0">
    <w:p w:rsidR="00571EC0" w:rsidRDefault="00571E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025" w:rsidRDefault="00571EC0">
    <w:pPr>
      <w:pBdr>
        <w:top w:val="nil"/>
        <w:left w:val="nil"/>
        <w:bottom w:val="nil"/>
        <w:right w:val="nil"/>
        <w:between w:val="nil"/>
      </w:pBdr>
      <w:jc w:val="right"/>
    </w:pPr>
    <w:r>
      <w:fldChar w:fldCharType="begin"/>
    </w:r>
    <w:r>
      <w:instrText>PAGE</w:instrText>
    </w:r>
    <w:r w:rsidR="00600B13">
      <w:fldChar w:fldCharType="separate"/>
    </w:r>
    <w:r w:rsidR="00600B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EC0" w:rsidRDefault="00571EC0">
      <w:pPr>
        <w:spacing w:line="240" w:lineRule="auto"/>
      </w:pPr>
      <w:r>
        <w:separator/>
      </w:r>
    </w:p>
  </w:footnote>
  <w:footnote w:type="continuationSeparator" w:id="0">
    <w:p w:rsidR="00571EC0" w:rsidRDefault="00571E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025" w:rsidRDefault="00E9402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94025"/>
    <w:rsid w:val="00571EC0"/>
    <w:rsid w:val="00600B13"/>
    <w:rsid w:val="00E940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docId w15:val="{09ED8881-1244-BB4E-AF41-ABE55407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00B1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0B1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paperpile.com/c/u84QZz/6C9L" TargetMode="External"/><Relationship Id="rId21" Type="http://schemas.openxmlformats.org/officeDocument/2006/relationships/hyperlink" Target="https://paperpile.com/c/u84QZz/Fz7P" TargetMode="External"/><Relationship Id="rId42" Type="http://schemas.openxmlformats.org/officeDocument/2006/relationships/hyperlink" Target="https://paperpile.com/c/u84QZz/026v+wYsT" TargetMode="External"/><Relationship Id="rId47" Type="http://schemas.openxmlformats.org/officeDocument/2006/relationships/hyperlink" Target="https://paperpile.com/c/u84QZz/Q4o1" TargetMode="External"/><Relationship Id="rId63" Type="http://schemas.openxmlformats.org/officeDocument/2006/relationships/hyperlink" Target="https://paperpile.com/c/u84QZz/RD8yo" TargetMode="External"/><Relationship Id="rId68" Type="http://schemas.openxmlformats.org/officeDocument/2006/relationships/hyperlink" Target="https://paperpile.com/c/u84QZz/kVxYf+vPBQw" TargetMode="External"/><Relationship Id="rId84" Type="http://schemas.openxmlformats.org/officeDocument/2006/relationships/hyperlink" Target="https://bioconductor.org/packages/release/bioc/html/OmicCircos.html" TargetMode="External"/><Relationship Id="rId89" Type="http://schemas.openxmlformats.org/officeDocument/2006/relationships/hyperlink" Target="https://paperpile.com/c/u84QZz/j20K" TargetMode="External"/><Relationship Id="rId16" Type="http://schemas.openxmlformats.org/officeDocument/2006/relationships/hyperlink" Target="https://paperpile.com/c/u84QZz/Q4o1" TargetMode="External"/><Relationship Id="rId107" Type="http://schemas.openxmlformats.org/officeDocument/2006/relationships/theme" Target="theme/theme1.xml"/><Relationship Id="rId11" Type="http://schemas.openxmlformats.org/officeDocument/2006/relationships/hyperlink" Target="https://paperpile.com/c/u84QZz/vwky+RVM9" TargetMode="External"/><Relationship Id="rId32" Type="http://schemas.openxmlformats.org/officeDocument/2006/relationships/image" Target="media/image1.png"/><Relationship Id="rId37" Type="http://schemas.openxmlformats.org/officeDocument/2006/relationships/image" Target="media/image3.png"/><Relationship Id="rId53" Type="http://schemas.openxmlformats.org/officeDocument/2006/relationships/hyperlink" Target="https://paperpile.com/c/u84QZz/hly1" TargetMode="External"/><Relationship Id="rId58" Type="http://schemas.openxmlformats.org/officeDocument/2006/relationships/hyperlink" Target="https://paperpile.com/c/u84QZz/dKCo" TargetMode="External"/><Relationship Id="rId74" Type="http://schemas.openxmlformats.org/officeDocument/2006/relationships/hyperlink" Target="https://paperpile.com/c/u84QZz/q7RT" TargetMode="External"/><Relationship Id="rId79" Type="http://schemas.openxmlformats.org/officeDocument/2006/relationships/hyperlink" Target="https://paperpile.com/c/u84QZz/WdC1S" TargetMode="External"/><Relationship Id="rId102" Type="http://schemas.openxmlformats.org/officeDocument/2006/relationships/hyperlink" Target="https://doi.org/10.6084/m9.figshare.c.3808162" TargetMode="External"/><Relationship Id="rId5" Type="http://schemas.openxmlformats.org/officeDocument/2006/relationships/endnotes" Target="endnotes.xml"/><Relationship Id="rId90" Type="http://schemas.openxmlformats.org/officeDocument/2006/relationships/hyperlink" Target="https://paperpile.com/c/u84QZz/Xei4" TargetMode="External"/><Relationship Id="rId95" Type="http://schemas.openxmlformats.org/officeDocument/2006/relationships/hyperlink" Target="https://paperpile.com/c/u84QZz/8OXU" TargetMode="External"/><Relationship Id="rId22" Type="http://schemas.openxmlformats.org/officeDocument/2006/relationships/hyperlink" Target="https://paperpile.com/c/u84QZz/5kM0+iPph+lMqq+3G3f+SOkyx" TargetMode="External"/><Relationship Id="rId27" Type="http://schemas.openxmlformats.org/officeDocument/2006/relationships/hyperlink" Target="https://paperpile.com/c/u84QZz/q7RT" TargetMode="External"/><Relationship Id="rId43" Type="http://schemas.openxmlformats.org/officeDocument/2006/relationships/hyperlink" Target="https://paperpile.com/c/u84QZz/eRnr" TargetMode="External"/><Relationship Id="rId48" Type="http://schemas.openxmlformats.org/officeDocument/2006/relationships/hyperlink" Target="https://paperpile.com/c/u84QZz/q7RT+Xei4" TargetMode="External"/><Relationship Id="rId64" Type="http://schemas.openxmlformats.org/officeDocument/2006/relationships/hyperlink" Target="https://paperpile.com/c/u84QZz/q7RT" TargetMode="External"/><Relationship Id="rId69" Type="http://schemas.openxmlformats.org/officeDocument/2006/relationships/hyperlink" Target="https://paperpile.com/c/u84QZz/eOHv" TargetMode="External"/><Relationship Id="rId80" Type="http://schemas.openxmlformats.org/officeDocument/2006/relationships/hyperlink" Target="https://paperpile.com/c/u84QZz/tic9" TargetMode="External"/><Relationship Id="rId85" Type="http://schemas.openxmlformats.org/officeDocument/2006/relationships/hyperlink" Target="https://paperpile.com/c/u84QZz/UJKW" TargetMode="External"/><Relationship Id="rId12" Type="http://schemas.openxmlformats.org/officeDocument/2006/relationships/hyperlink" Target="https://paperpile.com/c/u84QZz/vwky+RVM9" TargetMode="External"/><Relationship Id="rId17" Type="http://schemas.openxmlformats.org/officeDocument/2006/relationships/hyperlink" Target="https://paperpile.com/c/u84QZz/s1nlH+SOkyx" TargetMode="External"/><Relationship Id="rId33" Type="http://schemas.openxmlformats.org/officeDocument/2006/relationships/hyperlink" Target="https://paperpile.com/c/u84QZz/q7RT+E7dS" TargetMode="External"/><Relationship Id="rId38" Type="http://schemas.openxmlformats.org/officeDocument/2006/relationships/hyperlink" Target="https://paperpile.com/c/u84QZz/q7RT+GTNx" TargetMode="External"/><Relationship Id="rId59" Type="http://schemas.openxmlformats.org/officeDocument/2006/relationships/hyperlink" Target="https://paperpile.com/c/u84QZz/Rlxh+yQMQ" TargetMode="External"/><Relationship Id="rId103" Type="http://schemas.openxmlformats.org/officeDocument/2006/relationships/hyperlink" Target="https://www.forskningsradet.no/prosjektbanken/" TargetMode="External"/><Relationship Id="rId20" Type="http://schemas.openxmlformats.org/officeDocument/2006/relationships/hyperlink" Target="https://paperpile.com/c/u84QZz/s3pR+E7dS" TargetMode="External"/><Relationship Id="rId41" Type="http://schemas.openxmlformats.org/officeDocument/2006/relationships/hyperlink" Target="https://paperpile.com/c/u84QZz/xfcj2" TargetMode="External"/><Relationship Id="rId54" Type="http://schemas.openxmlformats.org/officeDocument/2006/relationships/hyperlink" Target="https://paperpile.com/c/u84QZz/E7dS+q7RT" TargetMode="External"/><Relationship Id="rId62" Type="http://schemas.openxmlformats.org/officeDocument/2006/relationships/hyperlink" Target="https://paperpile.com/c/u84QZz/Ivadp" TargetMode="External"/><Relationship Id="rId70" Type="http://schemas.openxmlformats.org/officeDocument/2006/relationships/hyperlink" Target="https://github.com/sujaikumar/assemblage/blob/master/README-annotation.md" TargetMode="External"/><Relationship Id="rId75" Type="http://schemas.openxmlformats.org/officeDocument/2006/relationships/hyperlink" Target="https://paperpile.com/c/u84QZz/Cw4X" TargetMode="External"/><Relationship Id="rId83" Type="http://schemas.openxmlformats.org/officeDocument/2006/relationships/hyperlink" Target="https://paperpile.com/c/u84QZz/q7RT" TargetMode="External"/><Relationship Id="rId88" Type="http://schemas.openxmlformats.org/officeDocument/2006/relationships/hyperlink" Target="https://cran.r-project.org/package=pheatmap" TargetMode="External"/><Relationship Id="rId91" Type="http://schemas.openxmlformats.org/officeDocument/2006/relationships/hyperlink" Target="https://paperpile.com/c/u84QZz/E5oPj" TargetMode="External"/><Relationship Id="rId96" Type="http://schemas.openxmlformats.org/officeDocument/2006/relationships/hyperlink" Target="https://paperpile.com/c/u84QZz/7q5O" TargetMode="External"/><Relationship Id="rId1" Type="http://schemas.openxmlformats.org/officeDocument/2006/relationships/styles" Target="styles.xml"/><Relationship Id="rId6" Type="http://schemas.openxmlformats.org/officeDocument/2006/relationships/hyperlink" Target="mailto:k.s.jakobsen@ibv.uio.no" TargetMode="External"/><Relationship Id="rId15" Type="http://schemas.openxmlformats.org/officeDocument/2006/relationships/hyperlink" Target="https://paperpile.com/c/u84QZz/5Ipw+4yGQ+IVva+ERKf+YRWZ+q7RT+E7dS" TargetMode="External"/><Relationship Id="rId23" Type="http://schemas.openxmlformats.org/officeDocument/2006/relationships/hyperlink" Target="https://paperpile.com/c/u84QZz/OiLav" TargetMode="External"/><Relationship Id="rId28" Type="http://schemas.openxmlformats.org/officeDocument/2006/relationships/hyperlink" Target="https://paperpile.com/c/u84QZz/q7RT+E7dS" TargetMode="External"/><Relationship Id="rId36" Type="http://schemas.openxmlformats.org/officeDocument/2006/relationships/image" Target="media/image2.png"/><Relationship Id="rId49" Type="http://schemas.openxmlformats.org/officeDocument/2006/relationships/hyperlink" Target="https://paperpile.com/c/u84QZz/2gzz" TargetMode="External"/><Relationship Id="rId57" Type="http://schemas.openxmlformats.org/officeDocument/2006/relationships/hyperlink" Target="https://paperpile.com/c/u84QZz/qihQ" TargetMode="External"/><Relationship Id="rId106" Type="http://schemas.openxmlformats.org/officeDocument/2006/relationships/fontTable" Target="fontTable.xml"/><Relationship Id="rId10" Type="http://schemas.openxmlformats.org/officeDocument/2006/relationships/hyperlink" Target="https://paperpile.com/c/u84QZz/vfM5+uPP9+1y8j" TargetMode="External"/><Relationship Id="rId31" Type="http://schemas.openxmlformats.org/officeDocument/2006/relationships/hyperlink" Target="https://paperpile.com/c/u84QZz/E7dS" TargetMode="External"/><Relationship Id="rId44" Type="http://schemas.openxmlformats.org/officeDocument/2006/relationships/image" Target="media/image4.png"/><Relationship Id="rId52" Type="http://schemas.openxmlformats.org/officeDocument/2006/relationships/hyperlink" Target="https://paperpile.com/c/u84QZz/ri0QM+2y1rG+0cFA+hly1+zT5b" TargetMode="External"/><Relationship Id="rId60" Type="http://schemas.openxmlformats.org/officeDocument/2006/relationships/hyperlink" Target="https://paperpile.com/c/u84QZz/E5oPj" TargetMode="External"/><Relationship Id="rId65" Type="http://schemas.openxmlformats.org/officeDocument/2006/relationships/hyperlink" Target="https://paperpile.com/c/u84QZz/8lLL" TargetMode="External"/><Relationship Id="rId73" Type="http://schemas.openxmlformats.org/officeDocument/2006/relationships/hyperlink" Target="https://paperpile.com/c/u84QZz/W42L" TargetMode="External"/><Relationship Id="rId78" Type="http://schemas.openxmlformats.org/officeDocument/2006/relationships/hyperlink" Target="https://paperpile.com/c/u84QZz/eADZq" TargetMode="External"/><Relationship Id="rId81" Type="http://schemas.openxmlformats.org/officeDocument/2006/relationships/hyperlink" Target="https://paperpile.com/c/u84QZz/XjO1" TargetMode="External"/><Relationship Id="rId86" Type="http://schemas.openxmlformats.org/officeDocument/2006/relationships/hyperlink" Target="https://paperpile.com/c/u84QZz/8OXU" TargetMode="External"/><Relationship Id="rId94" Type="http://schemas.openxmlformats.org/officeDocument/2006/relationships/hyperlink" Target="https://paperpile.com/c/u84QZz/hZk1" TargetMode="External"/><Relationship Id="rId99" Type="http://schemas.openxmlformats.org/officeDocument/2006/relationships/hyperlink" Target="https://paperpile.com/c/u84QZz/2yXB" TargetMode="External"/><Relationship Id="rId101" Type="http://schemas.openxmlformats.org/officeDocument/2006/relationships/hyperlink" Target="https://paperpile.com/c/u84QZz/mrJZ" TargetMode="External"/><Relationship Id="rId4" Type="http://schemas.openxmlformats.org/officeDocument/2006/relationships/footnotes" Target="footnotes.xml"/><Relationship Id="rId9" Type="http://schemas.openxmlformats.org/officeDocument/2006/relationships/hyperlink" Target="https://paperpile.com/c/u84QZz/s1nlH" TargetMode="External"/><Relationship Id="rId13" Type="http://schemas.openxmlformats.org/officeDocument/2006/relationships/hyperlink" Target="https://paperpile.com/c/u84QZz/vwky+RVM9" TargetMode="External"/><Relationship Id="rId18" Type="http://schemas.openxmlformats.org/officeDocument/2006/relationships/hyperlink" Target="https://paperpile.com/c/u84QZz/s3pR+WXK6+q7RT+E7dS" TargetMode="External"/><Relationship Id="rId39" Type="http://schemas.openxmlformats.org/officeDocument/2006/relationships/hyperlink" Target="https://paperpile.com/c/u84QZz/q7RT" TargetMode="External"/><Relationship Id="rId34" Type="http://schemas.openxmlformats.org/officeDocument/2006/relationships/hyperlink" Target="https://paperpile.com/c/u84QZz/5K2l" TargetMode="External"/><Relationship Id="rId50" Type="http://schemas.openxmlformats.org/officeDocument/2006/relationships/hyperlink" Target="https://paperpile.com/c/u84QZz/qCFH+F3Or" TargetMode="External"/><Relationship Id="rId55" Type="http://schemas.openxmlformats.org/officeDocument/2006/relationships/hyperlink" Target="https://paperpile.com/c/u84QZz/6wkO+q7RT" TargetMode="External"/><Relationship Id="rId76" Type="http://schemas.openxmlformats.org/officeDocument/2006/relationships/hyperlink" Target="https://paperpile.com/c/u84QZz/JOJt2" TargetMode="External"/><Relationship Id="rId97" Type="http://schemas.openxmlformats.org/officeDocument/2006/relationships/hyperlink" Target="https://paperpile.com/c/u84QZz/EMkX" TargetMode="External"/><Relationship Id="rId104" Type="http://schemas.openxmlformats.org/officeDocument/2006/relationships/header" Target="header1.xml"/><Relationship Id="rId7" Type="http://schemas.openxmlformats.org/officeDocument/2006/relationships/hyperlink" Target="mailto:simen.sandve@nmbu.no" TargetMode="External"/><Relationship Id="rId71" Type="http://schemas.openxmlformats.org/officeDocument/2006/relationships/hyperlink" Target="https://github.com/sujaikumar/assemblage/blob/master/README-annotation.md" TargetMode="External"/><Relationship Id="rId92" Type="http://schemas.openxmlformats.org/officeDocument/2006/relationships/hyperlink" Target="https://paperpile.com/c/u84QZz/q7RT" TargetMode="External"/><Relationship Id="rId2" Type="http://schemas.openxmlformats.org/officeDocument/2006/relationships/settings" Target="settings.xml"/><Relationship Id="rId29" Type="http://schemas.openxmlformats.org/officeDocument/2006/relationships/hyperlink" Target="https://paperpile.com/c/u84QZz/q7RT" TargetMode="External"/><Relationship Id="rId24" Type="http://schemas.openxmlformats.org/officeDocument/2006/relationships/hyperlink" Target="https://paperpile.com/c/u84QZz/Ivadp" TargetMode="External"/><Relationship Id="rId40" Type="http://schemas.openxmlformats.org/officeDocument/2006/relationships/hyperlink" Target="https://paperpile.com/c/u84QZz/GTNx" TargetMode="External"/><Relationship Id="rId45" Type="http://schemas.openxmlformats.org/officeDocument/2006/relationships/hyperlink" Target="https://paperpile.com/c/u84QZz/IH1l" TargetMode="External"/><Relationship Id="rId66" Type="http://schemas.openxmlformats.org/officeDocument/2006/relationships/hyperlink" Target="https://paperpile.com/c/u84QZz/pKxKd" TargetMode="External"/><Relationship Id="rId87" Type="http://schemas.openxmlformats.org/officeDocument/2006/relationships/hyperlink" Target="https://paperpile.com/c/u84QZz/q7RT" TargetMode="External"/><Relationship Id="rId61" Type="http://schemas.openxmlformats.org/officeDocument/2006/relationships/hyperlink" Target="https://paperpile.com/c/u84QZz/OiLav" TargetMode="External"/><Relationship Id="rId82" Type="http://schemas.openxmlformats.org/officeDocument/2006/relationships/hyperlink" Target="https://paperpile.com/c/u84QZz/0B3ws" TargetMode="External"/><Relationship Id="rId19" Type="http://schemas.openxmlformats.org/officeDocument/2006/relationships/hyperlink" Target="https://paperpile.com/c/u84QZz/k1PmE" TargetMode="External"/><Relationship Id="rId14" Type="http://schemas.openxmlformats.org/officeDocument/2006/relationships/hyperlink" Target="https://paperpile.com/c/u84QZz/LDGK+2cJC" TargetMode="External"/><Relationship Id="rId30" Type="http://schemas.openxmlformats.org/officeDocument/2006/relationships/hyperlink" Target="https://paperpile.com/c/u84QZz/q7RT" TargetMode="External"/><Relationship Id="rId35" Type="http://schemas.openxmlformats.org/officeDocument/2006/relationships/hyperlink" Target="https://paperpile.com/c/u84QZz/qOJB" TargetMode="External"/><Relationship Id="rId56" Type="http://schemas.openxmlformats.org/officeDocument/2006/relationships/hyperlink" Target="https://paperpile.com/c/u84QZz/qihQ" TargetMode="External"/><Relationship Id="rId77" Type="http://schemas.openxmlformats.org/officeDocument/2006/relationships/hyperlink" Target="https://paperpile.com/c/u84QZz/VuMqi" TargetMode="External"/><Relationship Id="rId100" Type="http://schemas.openxmlformats.org/officeDocument/2006/relationships/hyperlink" Target="https://paperpile.com/c/u84QZz/hBA1" TargetMode="External"/><Relationship Id="rId105" Type="http://schemas.openxmlformats.org/officeDocument/2006/relationships/footer" Target="footer1.xml"/><Relationship Id="rId8" Type="http://schemas.openxmlformats.org/officeDocument/2006/relationships/hyperlink" Target="https://paperpile.com/c/u84QZz/EkDy" TargetMode="External"/><Relationship Id="rId51" Type="http://schemas.openxmlformats.org/officeDocument/2006/relationships/hyperlink" Target="https://paperpile.com/c/u84QZz/dxv9" TargetMode="External"/><Relationship Id="rId72" Type="http://schemas.openxmlformats.org/officeDocument/2006/relationships/hyperlink" Target="https://paperpile.com/c/u84QZz/AFC6" TargetMode="External"/><Relationship Id="rId93" Type="http://schemas.openxmlformats.org/officeDocument/2006/relationships/hyperlink" Target="https://paperpile.com/c/u84QZz/kVxYf" TargetMode="External"/><Relationship Id="rId98" Type="http://schemas.openxmlformats.org/officeDocument/2006/relationships/hyperlink" Target="https://www.genoscope.cns.fr/trout/" TargetMode="External"/><Relationship Id="rId3" Type="http://schemas.openxmlformats.org/officeDocument/2006/relationships/webSettings" Target="webSettings.xml"/><Relationship Id="rId25" Type="http://schemas.openxmlformats.org/officeDocument/2006/relationships/hyperlink" Target="https://paperpile.com/c/u84QZz/lMqq" TargetMode="External"/><Relationship Id="rId46" Type="http://schemas.openxmlformats.org/officeDocument/2006/relationships/image" Target="media/image5.png"/><Relationship Id="rId67" Type="http://schemas.openxmlformats.org/officeDocument/2006/relationships/hyperlink" Target="https://paperpile.com/c/u84QZz/kVxY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9871</Words>
  <Characters>56268</Characters>
  <Application>Microsoft Office Word</Application>
  <DocSecurity>0</DocSecurity>
  <Lines>468</Lines>
  <Paragraphs>132</Paragraphs>
  <ScaleCrop>false</ScaleCrop>
  <Company/>
  <LinksUpToDate>false</LinksUpToDate>
  <CharactersWithSpaces>66007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srinidhi varadharajan</cp:lastModifiedBy>
  <cp:revision>2</cp:revision>
  <dcterms:created xsi:type="dcterms:W3CDTF">2018-07-26T13:49:00Z</dcterms:created>
  <dcterms:modified xsi:type="dcterms:W3CDTF">2018-07-26T13:50:00Z</dcterms:modified>
</cp:coreProperties>
</file>